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202" coordsize="21600,21600" o:spt="202.0" path="m,l,21600r21600,l21600,xe">
            <v:stroke joinstyle="miter"/>
            <v:path o:connecttype="rect" gradientshapeok="t"/>
          </v:shapetype>
          <v:shapetype id="_x0000_t202" coordsize="21600,21600" o:spt="202.0" path="m,l,21600r21600,l21600,xe">
            <v:stroke joinstyle="miter"/>
            <v:path o:connecttype="rect" gradientshapeok="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sz w:val="20"/>
          <w:szCs w:val="20"/>
        </w:rPr>
        <mc:AlternateContent>
          <mc:Choice Requires="wpg">
            <w:drawing>
              <wp:inline distB="0" distT="0" distL="114300" distR="114300">
                <wp:extent cx="6686550" cy="683257"/>
                <wp:effectExtent b="0" l="0" r="0" t="0"/>
                <wp:docPr id="1" name=""/>
                <a:graphic>
                  <a:graphicData uri="http://schemas.microsoft.com/office/word/2010/wordprocessingGroup">
                    <wpg:wgp>
                      <wpg:cNvGrpSpPr/>
                      <wpg:grpSpPr>
                        <a:xfrm>
                          <a:off x="1999225" y="3536775"/>
                          <a:ext cx="6686550" cy="683257"/>
                          <a:chOff x="1999225" y="3536775"/>
                          <a:chExt cx="6692275" cy="1031125"/>
                        </a:xfrm>
                      </wpg:grpSpPr>
                      <wpg:grpSp>
                        <wpg:cNvGrpSpPr/>
                        <wpg:grpSpPr>
                          <a:xfrm>
                            <a:off x="2000820" y="3536795"/>
                            <a:ext cx="6690350" cy="486400"/>
                            <a:chOff x="0" y="0"/>
                            <a:chExt cx="6690350" cy="486400"/>
                          </a:xfrm>
                        </wpg:grpSpPr>
                        <wps:wsp>
                          <wps:cNvSpPr/>
                          <wps:cNvPr id="3" name="Shape 3"/>
                          <wps:spPr>
                            <a:xfrm>
                              <a:off x="0" y="0"/>
                              <a:ext cx="6690350" cy="486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3175" y="17780"/>
                              <a:ext cx="6682740" cy="467360"/>
                            </a:xfrm>
                            <a:custGeom>
                              <a:rect b="b" l="l" r="r" t="t"/>
                              <a:pathLst>
                                <a:path extrusionOk="0" h="467360" w="6682740">
                                  <a:moveTo>
                                    <a:pt x="3175" y="2540"/>
                                  </a:moveTo>
                                  <a:lnTo>
                                    <a:pt x="6679565" y="2540"/>
                                  </a:lnTo>
                                  <a:moveTo>
                                    <a:pt x="3175" y="464820"/>
                                  </a:moveTo>
                                  <a:lnTo>
                                    <a:pt x="6679565" y="464820"/>
                                  </a:lnTo>
                                  <a:moveTo>
                                    <a:pt x="0" y="0"/>
                                  </a:moveTo>
                                  <a:lnTo>
                                    <a:pt x="0" y="467360"/>
                                  </a:lnTo>
                                  <a:moveTo>
                                    <a:pt x="6682740" y="0"/>
                                  </a:moveTo>
                                  <a:lnTo>
                                    <a:pt x="6682740" y="46736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5" name="Shape 5"/>
                          <wps:spPr>
                            <a:xfrm>
                              <a:off x="74930" y="0"/>
                              <a:ext cx="3844289" cy="203200"/>
                            </a:xfrm>
                            <a:custGeom>
                              <a:rect b="b" l="l" r="r" t="t"/>
                              <a:pathLst>
                                <a:path extrusionOk="0" h="203200" w="3844289">
                                  <a:moveTo>
                                    <a:pt x="0" y="0"/>
                                  </a:moveTo>
                                  <a:lnTo>
                                    <a:pt x="0" y="203200"/>
                                  </a:lnTo>
                                  <a:lnTo>
                                    <a:pt x="3844289" y="203200"/>
                                  </a:lnTo>
                                  <a:lnTo>
                                    <a:pt x="3844289" y="0"/>
                                  </a:lnTo>
                                  <a:close/>
                                </a:path>
                              </a:pathLst>
                            </a:custGeom>
                            <a:noFill/>
                            <a:ln>
                              <a:noFill/>
                            </a:ln>
                          </wps:spPr>
                          <wps:txbx>
                            <w:txbxContent>
                              <w:p w:rsidR="00000000" w:rsidDel="00000000" w:rsidP="00000000" w:rsidRDefault="00000000" w:rsidRPr="00000000">
                                <w:pPr>
                                  <w:spacing w:after="0" w:before="0" w:line="319.0000247955322"/>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t xml:space="preserve">Docente di Scuola: </w:t>
                                </w:r>
                                <w:r w:rsidDel="00000000" w:rsidR="00000000" w:rsidRPr="00000000">
                                  <w:rPr>
                                    <w:rFonts w:ascii="Calibri" w:cs="Calibri" w:eastAsia="Calibri" w:hAnsi="Calibri"/>
                                    <w:b w:val="1"/>
                                    <w:i w:val="0"/>
                                    <w:smallCaps w:val="0"/>
                                    <w:strike w:val="0"/>
                                    <w:color w:val="000000"/>
                                    <w:sz w:val="32"/>
                                    <w:vertAlign w:val="baseline"/>
                                  </w:rPr>
                                  <w:t xml:space="preserve">□ </w:t>
                                </w:r>
                                <w:r w:rsidDel="00000000" w:rsidR="00000000" w:rsidRPr="00000000">
                                  <w:rPr>
                                    <w:rFonts w:ascii="Calibri" w:cs="Calibri" w:eastAsia="Calibri" w:hAnsi="Calibri"/>
                                    <w:b w:val="1"/>
                                    <w:i w:val="0"/>
                                    <w:smallCaps w:val="0"/>
                                    <w:strike w:val="0"/>
                                    <w:color w:val="000000"/>
                                    <w:sz w:val="22"/>
                                    <w:vertAlign w:val="baseline"/>
                                  </w:rPr>
                                  <w:t xml:space="preserve">Infanzia- </w:t>
                                </w:r>
                                <w:r w:rsidDel="00000000" w:rsidR="00000000" w:rsidRPr="00000000">
                                  <w:rPr>
                                    <w:rFonts w:ascii="Calibri" w:cs="Calibri" w:eastAsia="Calibri" w:hAnsi="Calibri"/>
                                    <w:b w:val="1"/>
                                    <w:i w:val="0"/>
                                    <w:smallCaps w:val="0"/>
                                    <w:strike w:val="0"/>
                                    <w:color w:val="000000"/>
                                    <w:sz w:val="32"/>
                                    <w:vertAlign w:val="baseline"/>
                                  </w:rPr>
                                  <w:t xml:space="preserve">□ </w:t>
                                </w:r>
                                <w:r w:rsidDel="00000000" w:rsidR="00000000" w:rsidRPr="00000000">
                                  <w:rPr>
                                    <w:rFonts w:ascii="Calibri" w:cs="Calibri" w:eastAsia="Calibri" w:hAnsi="Calibri"/>
                                    <w:b w:val="1"/>
                                    <w:i w:val="0"/>
                                    <w:smallCaps w:val="0"/>
                                    <w:strike w:val="0"/>
                                    <w:color w:val="000000"/>
                                    <w:sz w:val="22"/>
                                    <w:vertAlign w:val="baseline"/>
                                  </w:rPr>
                                  <w:t xml:space="preserve">Primaria	Posto : </w:t>
                                </w:r>
                                <w:r w:rsidDel="00000000" w:rsidR="00000000" w:rsidRPr="00000000">
                                  <w:rPr>
                                    <w:rFonts w:ascii="Calibri" w:cs="Calibri" w:eastAsia="Calibri" w:hAnsi="Calibri"/>
                                    <w:b w:val="1"/>
                                    <w:i w:val="0"/>
                                    <w:smallCaps w:val="0"/>
                                    <w:strike w:val="0"/>
                                    <w:color w:val="000000"/>
                                    <w:sz w:val="32"/>
                                    <w:vertAlign w:val="baseline"/>
                                  </w:rPr>
                                  <w:t xml:space="preserve">□ </w:t>
                                </w:r>
                                <w:r w:rsidDel="00000000" w:rsidR="00000000" w:rsidRPr="00000000">
                                  <w:rPr>
                                    <w:rFonts w:ascii="Calibri" w:cs="Calibri" w:eastAsia="Calibri" w:hAnsi="Calibri"/>
                                    <w:b w:val="1"/>
                                    <w:i w:val="0"/>
                                    <w:smallCaps w:val="0"/>
                                    <w:strike w:val="0"/>
                                    <w:color w:val="000000"/>
                                    <w:sz w:val="22"/>
                                    <w:vertAlign w:val="baseline"/>
                                  </w:rPr>
                                  <w:t xml:space="preserve">Comune</w:t>
                                </w:r>
                              </w:p>
                            </w:txbxContent>
                          </wps:txbx>
                          <wps:bodyPr anchorCtr="0" anchor="t" bIns="38100" lIns="88900" spcFirstLastPara="1" rIns="88900" wrap="square" tIns="38100">
                            <a:noAutofit/>
                          </wps:bodyPr>
                        </wps:wsp>
                        <wps:wsp>
                          <wps:cNvSpPr/>
                          <wps:cNvPr id="6" name="Shape 6"/>
                          <wps:spPr>
                            <a:xfrm>
                              <a:off x="4164965" y="0"/>
                              <a:ext cx="709295" cy="203200"/>
                            </a:xfrm>
                            <a:custGeom>
                              <a:rect b="b" l="l" r="r" t="t"/>
                              <a:pathLst>
                                <a:path extrusionOk="0" h="203200" w="709295">
                                  <a:moveTo>
                                    <a:pt x="0" y="0"/>
                                  </a:moveTo>
                                  <a:lnTo>
                                    <a:pt x="0" y="203200"/>
                                  </a:lnTo>
                                  <a:lnTo>
                                    <a:pt x="709295" y="203200"/>
                                  </a:lnTo>
                                  <a:lnTo>
                                    <a:pt x="709295" y="0"/>
                                  </a:lnTo>
                                  <a:close/>
                                </a:path>
                              </a:pathLst>
                            </a:custGeom>
                            <a:noFill/>
                            <a:ln>
                              <a:noFill/>
                            </a:ln>
                          </wps:spPr>
                          <wps:txbx>
                            <w:txbxContent>
                              <w:p w:rsidR="00000000" w:rsidDel="00000000" w:rsidP="00000000" w:rsidRDefault="00000000" w:rsidRPr="00000000">
                                <w:pPr>
                                  <w:spacing w:after="0" w:before="0" w:line="319.0000247955322"/>
                                  <w:ind w:left="0" w:right="0" w:firstLine="0"/>
                                  <w:jc w:val="left"/>
                                  <w:textDirection w:val="btLr"/>
                                </w:pPr>
                                <w:r w:rsidDel="00000000" w:rsidR="00000000" w:rsidRPr="00000000">
                                  <w:rPr>
                                    <w:rFonts w:ascii="Calibri" w:cs="Calibri" w:eastAsia="Calibri" w:hAnsi="Calibri"/>
                                    <w:b w:val="1"/>
                                    <w:i w:val="0"/>
                                    <w:smallCaps w:val="0"/>
                                    <w:strike w:val="0"/>
                                    <w:color w:val="000000"/>
                                    <w:sz w:val="32"/>
                                    <w:vertAlign w:val="baseline"/>
                                  </w:rPr>
                                  <w:t xml:space="preserve">□ </w:t>
                                </w:r>
                                <w:r w:rsidDel="00000000" w:rsidR="00000000" w:rsidRPr="00000000">
                                  <w:rPr>
                                    <w:rFonts w:ascii="Calibri" w:cs="Calibri" w:eastAsia="Calibri" w:hAnsi="Calibri"/>
                                    <w:b w:val="1"/>
                                    <w:i w:val="0"/>
                                    <w:smallCaps w:val="0"/>
                                    <w:strike w:val="0"/>
                                    <w:color w:val="000000"/>
                                    <w:sz w:val="22"/>
                                    <w:vertAlign w:val="baseline"/>
                                  </w:rPr>
                                  <w:t xml:space="preserve">Sostegno</w:t>
                                </w:r>
                              </w:p>
                            </w:txbxContent>
                          </wps:txbx>
                          <wps:bodyPr anchorCtr="0" anchor="t" bIns="38100" lIns="88900" spcFirstLastPara="1" rIns="88900" wrap="square" tIns="38100">
                            <a:noAutofit/>
                          </wps:bodyPr>
                        </wps:wsp>
                        <wps:wsp>
                          <wps:cNvSpPr/>
                          <wps:cNvPr id="7" name="Shape 7"/>
                          <wps:spPr>
                            <a:xfrm>
                              <a:off x="74930" y="275590"/>
                              <a:ext cx="4812030" cy="203200"/>
                            </a:xfrm>
                            <a:custGeom>
                              <a:rect b="b" l="l" r="r" t="t"/>
                              <a:pathLst>
                                <a:path extrusionOk="0" h="203200" w="4812030">
                                  <a:moveTo>
                                    <a:pt x="0" y="0"/>
                                  </a:moveTo>
                                  <a:lnTo>
                                    <a:pt x="0" y="203200"/>
                                  </a:lnTo>
                                  <a:lnTo>
                                    <a:pt x="4812030" y="203200"/>
                                  </a:lnTo>
                                  <a:lnTo>
                                    <a:pt x="4812030" y="0"/>
                                  </a:lnTo>
                                  <a:close/>
                                </a:path>
                              </a:pathLst>
                            </a:custGeom>
                            <a:noFill/>
                            <a:ln>
                              <a:noFill/>
                            </a:ln>
                          </wps:spPr>
                          <wps:txbx>
                            <w:txbxContent>
                              <w:p w:rsidR="00000000" w:rsidDel="00000000" w:rsidP="00000000" w:rsidRDefault="00000000" w:rsidRPr="00000000">
                                <w:pPr>
                                  <w:spacing w:after="0" w:before="0" w:line="319.0000247955322"/>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Docente di scuola secondaria 1°grado </w:t>
                                </w:r>
                                <w:r w:rsidDel="00000000" w:rsidR="00000000" w:rsidRPr="00000000">
                                  <w:rPr>
                                    <w:rFonts w:ascii="Calibri" w:cs="Calibri" w:eastAsia="Calibri" w:hAnsi="Calibri"/>
                                    <w:b w:val="1"/>
                                    <w:i w:val="0"/>
                                    <w:smallCaps w:val="0"/>
                                    <w:strike w:val="0"/>
                                    <w:color w:val="000000"/>
                                    <w:sz w:val="32"/>
                                    <w:vertAlign w:val="baseline"/>
                                  </w:rPr>
                                  <w:t xml:space="preserve">□ </w:t>
                                </w:r>
                                <w:r w:rsidDel="00000000" w:rsidR="00000000" w:rsidRPr="00000000">
                                  <w:rPr>
                                    <w:rFonts w:ascii="Calibri" w:cs="Calibri" w:eastAsia="Calibri" w:hAnsi="Calibri"/>
                                    <w:b w:val="1"/>
                                    <w:i w:val="0"/>
                                    <w:smallCaps w:val="0"/>
                                    <w:strike w:val="0"/>
                                    <w:color w:val="000000"/>
                                    <w:sz w:val="22"/>
                                    <w:vertAlign w:val="baseline"/>
                                  </w:rPr>
                                  <w:t xml:space="preserve">Cl/Conc :</w:t>
                                </w:r>
                                <w:r w:rsidDel="00000000" w:rsidR="00000000" w:rsidRPr="00000000">
                                  <w:rPr>
                                    <w:rFonts w:ascii="Calibri" w:cs="Calibri" w:eastAsia="Calibri" w:hAnsi="Calibri"/>
                                    <w:b w:val="1"/>
                                    <w:i w:val="0"/>
                                    <w:smallCaps w:val="0"/>
                                    <w:strike w:val="0"/>
                                    <w:color w:val="000000"/>
                                    <w:sz w:val="22"/>
                                    <w:u w:val="single"/>
                                    <w:vertAlign w:val="baseline"/>
                                  </w:rPr>
                                  <w:t xml:space="preserve">	</w:t>
                                </w:r>
                                <w:r w:rsidDel="00000000" w:rsidR="00000000" w:rsidRPr="00000000">
                                  <w:rPr>
                                    <w:rFonts w:ascii="Calibri" w:cs="Calibri" w:eastAsia="Calibri" w:hAnsi="Calibri"/>
                                    <w:b w:val="1"/>
                                    <w:i w:val="0"/>
                                    <w:smallCaps w:val="0"/>
                                    <w:strike w:val="0"/>
                                    <w:color w:val="000000"/>
                                    <w:sz w:val="22"/>
                                    <w:vertAlign w:val="baseline"/>
                                  </w:rPr>
                                  <w:t xml:space="preserve">-Posto: </w:t>
                                </w:r>
                                <w:r w:rsidDel="00000000" w:rsidR="00000000" w:rsidRPr="00000000">
                                  <w:rPr>
                                    <w:rFonts w:ascii="Calibri" w:cs="Calibri" w:eastAsia="Calibri" w:hAnsi="Calibri"/>
                                    <w:b w:val="1"/>
                                    <w:i w:val="0"/>
                                    <w:smallCaps w:val="0"/>
                                    <w:strike w:val="0"/>
                                    <w:color w:val="000000"/>
                                    <w:sz w:val="32"/>
                                    <w:vertAlign w:val="baseline"/>
                                  </w:rPr>
                                  <w:t xml:space="preserve">□ </w:t>
                                </w:r>
                                <w:r w:rsidDel="00000000" w:rsidR="00000000" w:rsidRPr="00000000">
                                  <w:rPr>
                                    <w:rFonts w:ascii="Calibri" w:cs="Calibri" w:eastAsia="Calibri" w:hAnsi="Calibri"/>
                                    <w:b w:val="1"/>
                                    <w:i w:val="0"/>
                                    <w:smallCaps w:val="0"/>
                                    <w:strike w:val="0"/>
                                    <w:color w:val="000000"/>
                                    <w:sz w:val="22"/>
                                    <w:vertAlign w:val="baseline"/>
                                  </w:rPr>
                                  <w:t xml:space="preserve">Normale</w:t>
                                </w:r>
                              </w:p>
                            </w:txbxContent>
                          </wps:txbx>
                          <wps:bodyPr anchorCtr="0" anchor="t" bIns="38100" lIns="88900" spcFirstLastPara="1" rIns="88900" wrap="square" tIns="38100">
                            <a:noAutofit/>
                          </wps:bodyPr>
                        </wps:wsp>
                        <wps:wsp>
                          <wps:cNvSpPr/>
                          <wps:cNvPr id="8" name="Shape 8"/>
                          <wps:spPr>
                            <a:xfrm>
                              <a:off x="5534025" y="0"/>
                              <a:ext cx="718185" cy="478790"/>
                            </a:xfrm>
                            <a:custGeom>
                              <a:rect b="b" l="l" r="r" t="t"/>
                              <a:pathLst>
                                <a:path extrusionOk="0" h="478790" w="718185">
                                  <a:moveTo>
                                    <a:pt x="0" y="0"/>
                                  </a:moveTo>
                                  <a:lnTo>
                                    <a:pt x="0" y="478790"/>
                                  </a:lnTo>
                                  <a:lnTo>
                                    <a:pt x="718185" y="478790"/>
                                  </a:lnTo>
                                  <a:lnTo>
                                    <a:pt x="718185" y="0"/>
                                  </a:lnTo>
                                  <a:close/>
                                </a:path>
                              </a:pathLst>
                            </a:custGeom>
                            <a:noFill/>
                            <a:ln>
                              <a:noFill/>
                            </a:ln>
                          </wps:spPr>
                          <wps:txbx>
                            <w:txbxContent>
                              <w:p w:rsidR="00000000" w:rsidDel="00000000" w:rsidP="00000000" w:rsidRDefault="00000000" w:rsidRPr="00000000">
                                <w:pPr>
                                  <w:spacing w:after="0" w:before="0" w:line="325.0000190734863"/>
                                  <w:ind w:left="256.00000381469727" w:right="0" w:firstLine="-1.0000000149011612"/>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Inglese</w:t>
                                </w:r>
                              </w:p>
                              <w:p w:rsidR="00000000" w:rsidDel="00000000" w:rsidP="00000000" w:rsidRDefault="00000000" w:rsidRPr="00000000">
                                <w:pPr>
                                  <w:spacing w:after="0" w:before="43.00000190734863" w:line="384.0000057220459"/>
                                  <w:ind w:left="212.99999237060547" w:right="0" w:firstLine="12.999999523162842"/>
                                  <w:jc w:val="left"/>
                                  <w:textDirection w:val="btLr"/>
                                </w:pPr>
                                <w:r w:rsidDel="00000000" w:rsidR="00000000" w:rsidRPr="00000000">
                                  <w:rPr>
                                    <w:rFonts w:ascii="Calibri" w:cs="Calibri" w:eastAsia="Calibri" w:hAnsi="Calibri"/>
                                    <w:b w:val="1"/>
                                    <w:i w:val="0"/>
                                    <w:smallCaps w:val="0"/>
                                    <w:strike w:val="0"/>
                                    <w:color w:val="000000"/>
                                    <w:sz w:val="22"/>
                                    <w:vertAlign w:val="baseline"/>
                                  </w:rPr>
                                </w:r>
                                <w:r w:rsidDel="00000000" w:rsidR="00000000" w:rsidRPr="00000000">
                                  <w:rPr>
                                    <w:rFonts w:ascii="Calibri" w:cs="Calibri" w:eastAsia="Calibri" w:hAnsi="Calibri"/>
                                    <w:b w:val="1"/>
                                    <w:i w:val="0"/>
                                    <w:smallCaps w:val="0"/>
                                    <w:strike w:val="0"/>
                                    <w:color w:val="000000"/>
                                    <w:sz w:val="22"/>
                                    <w:vertAlign w:val="baseline"/>
                                  </w:rPr>
                                  <w:t xml:space="preserve">Sostegno</w:t>
                                </w:r>
                              </w:p>
                            </w:txbxContent>
                          </wps:txbx>
                          <wps:bodyPr anchorCtr="0" anchor="t" bIns="38100" lIns="88900" spcFirstLastPara="1" rIns="88900" wrap="square" tIns="38100">
                            <a:noAutofit/>
                          </wps:bodyPr>
                        </wps:wsp>
                      </wpg:grpSp>
                    </wpg:wgp>
                  </a:graphicData>
                </a:graphic>
              </wp:inline>
            </w:drawing>
          </mc:Choice>
          <mc:Fallback>
            <w:drawing>
              <wp:inline distB="0" distT="0" distL="114300" distR="114300">
                <wp:extent cx="6686550" cy="683257"/>
                <wp:effectExtent b="0" l="0" r="0" t="0"/>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686550" cy="683257"/>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4">
      <w:pPr>
        <w:tabs>
          <w:tab w:val="left" w:leader="none" w:pos="6121"/>
          <w:tab w:val="left" w:leader="none" w:pos="9698"/>
        </w:tabs>
        <w:spacing w:line="212" w:lineRule="auto"/>
        <w:ind w:left="224"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5">
      <w:pPr>
        <w:tabs>
          <w:tab w:val="left" w:leader="none" w:pos="6121"/>
          <w:tab w:val="left" w:leader="none" w:pos="9698"/>
        </w:tabs>
        <w:spacing w:line="212" w:lineRule="auto"/>
        <w:ind w:left="224"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6">
      <w:pPr>
        <w:tabs>
          <w:tab w:val="left" w:leader="none" w:pos="6121"/>
          <w:tab w:val="left" w:leader="none" w:pos="9698"/>
        </w:tabs>
        <w:spacing w:line="212" w:lineRule="auto"/>
        <w:ind w:left="224"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Il/La sottoscritt</w:t>
      </w:r>
      <w:r w:rsidDel="00000000" w:rsidR="00000000" w:rsidRPr="00000000">
        <w:rPr>
          <w:rFonts w:ascii="Calibri" w:cs="Calibri" w:eastAsia="Calibri" w:hAnsi="Calibri"/>
          <w:sz w:val="20"/>
          <w:szCs w:val="20"/>
          <w:u w:val="single"/>
          <w:rtl w:val="0"/>
        </w:rPr>
        <w:t xml:space="preserve">     </w:t>
      </w:r>
      <w:r w:rsidDel="00000000" w:rsidR="00000000" w:rsidRPr="00000000">
        <w:rPr>
          <w:rFonts w:ascii="Calibri" w:cs="Calibri" w:eastAsia="Calibri" w:hAnsi="Calibri"/>
          <w:sz w:val="20"/>
          <w:szCs w:val="20"/>
          <w:rtl w:val="0"/>
        </w:rPr>
        <w:t xml:space="preserve">  _</w:t>
      </w:r>
      <w:r w:rsidDel="00000000" w:rsidR="00000000" w:rsidRPr="00000000">
        <w:rPr>
          <w:rFonts w:ascii="Calibri" w:cs="Calibri" w:eastAsia="Calibri" w:hAnsi="Calibri"/>
          <w:sz w:val="20"/>
          <w:szCs w:val="20"/>
          <w:u w:val="single"/>
          <w:rtl w:val="0"/>
        </w:rPr>
        <w:tab/>
      </w:r>
      <w:r w:rsidDel="00000000" w:rsidR="00000000" w:rsidRPr="00000000">
        <w:rPr>
          <w:rFonts w:ascii="Calibri" w:cs="Calibri" w:eastAsia="Calibri" w:hAnsi="Calibri"/>
          <w:sz w:val="20"/>
          <w:szCs w:val="20"/>
          <w:rtl w:val="0"/>
        </w:rPr>
        <w:t xml:space="preserve">nat</w:t>
      </w:r>
      <w:r w:rsidDel="00000000" w:rsidR="00000000" w:rsidRPr="00000000">
        <w:rPr>
          <w:rFonts w:ascii="Calibri" w:cs="Calibri" w:eastAsia="Calibri" w:hAnsi="Calibri"/>
          <w:sz w:val="20"/>
          <w:szCs w:val="20"/>
          <w:u w:val="single"/>
          <w:rtl w:val="0"/>
        </w:rPr>
        <w:t xml:space="preserve">  </w:t>
      </w:r>
      <w:r w:rsidDel="00000000" w:rsidR="00000000" w:rsidRPr="00000000">
        <w:rPr>
          <w:rFonts w:ascii="Calibri" w:cs="Calibri" w:eastAsia="Calibri" w:hAnsi="Calibri"/>
          <w:sz w:val="20"/>
          <w:szCs w:val="20"/>
          <w:rtl w:val="0"/>
        </w:rPr>
        <w:t xml:space="preserve">a</w:t>
      </w:r>
      <w:r w:rsidDel="00000000" w:rsidR="00000000" w:rsidRPr="00000000">
        <w:rPr>
          <w:rFonts w:ascii="Calibri" w:cs="Calibri" w:eastAsia="Calibri" w:hAnsi="Calibri"/>
          <w:sz w:val="20"/>
          <w:szCs w:val="20"/>
          <w:u w:val="single"/>
          <w:rtl w:val="0"/>
        </w:rPr>
        <w:tab/>
      </w:r>
      <w:r w:rsidDel="00000000" w:rsidR="00000000" w:rsidRPr="00000000">
        <w:rPr>
          <w:rFonts w:ascii="Calibri" w:cs="Calibri" w:eastAsia="Calibri" w:hAnsi="Calibri"/>
          <w:sz w:val="20"/>
          <w:szCs w:val="20"/>
          <w:rtl w:val="0"/>
        </w:rPr>
        <w:t xml:space="preserve">prov. (_</w:t>
      </w:r>
      <w:r w:rsidDel="00000000" w:rsidR="00000000" w:rsidRPr="00000000">
        <w:rPr>
          <w:rFonts w:ascii="Calibri" w:cs="Calibri" w:eastAsia="Calibri" w:hAnsi="Calibri"/>
          <w:sz w:val="20"/>
          <w:szCs w:val="20"/>
          <w:u w:val="single"/>
          <w:rtl w:val="0"/>
        </w:rPr>
        <w:t xml:space="preserve">   </w:t>
      </w: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tabs>
          <w:tab w:val="left" w:leader="none" w:pos="771"/>
          <w:tab w:val="left" w:leader="none" w:pos="1349"/>
          <w:tab w:val="left" w:leader="none" w:pos="1969"/>
          <w:tab w:val="left" w:leader="none" w:pos="6108"/>
          <w:tab w:val="left" w:leader="none" w:pos="10641"/>
        </w:tabs>
        <w:spacing w:before="59" w:lineRule="auto"/>
        <w:ind w:left="224"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il</w:t>
      </w:r>
      <w:r w:rsidDel="00000000" w:rsidR="00000000" w:rsidRPr="00000000">
        <w:rPr>
          <w:rFonts w:ascii="Calibri" w:cs="Calibri" w:eastAsia="Calibri" w:hAnsi="Calibri"/>
          <w:sz w:val="20"/>
          <w:szCs w:val="20"/>
          <w:u w:val="single"/>
          <w:rtl w:val="0"/>
        </w:rPr>
        <w:tab/>
      </w:r>
      <w:r w:rsidDel="00000000" w:rsidR="00000000" w:rsidRPr="00000000">
        <w:rPr>
          <w:rFonts w:ascii="Calibri" w:cs="Calibri" w:eastAsia="Calibri" w:hAnsi="Calibri"/>
          <w:sz w:val="20"/>
          <w:szCs w:val="20"/>
          <w:rtl w:val="0"/>
        </w:rPr>
        <w:t xml:space="preserve">/_</w:t>
      </w:r>
      <w:r w:rsidDel="00000000" w:rsidR="00000000" w:rsidRPr="00000000">
        <w:rPr>
          <w:rFonts w:ascii="Calibri" w:cs="Calibri" w:eastAsia="Calibri" w:hAnsi="Calibri"/>
          <w:sz w:val="20"/>
          <w:szCs w:val="20"/>
          <w:u w:val="single"/>
          <w:rtl w:val="0"/>
        </w:rPr>
        <w:tab/>
      </w:r>
      <w:r w:rsidDel="00000000" w:rsidR="00000000" w:rsidRPr="00000000">
        <w:rPr>
          <w:rFonts w:ascii="Calibri" w:cs="Calibri" w:eastAsia="Calibri" w:hAnsi="Calibri"/>
          <w:sz w:val="20"/>
          <w:szCs w:val="20"/>
          <w:rtl w:val="0"/>
        </w:rPr>
        <w:t xml:space="preserve">/_</w:t>
      </w:r>
      <w:r w:rsidDel="00000000" w:rsidR="00000000" w:rsidRPr="00000000">
        <w:rPr>
          <w:rFonts w:ascii="Calibri" w:cs="Calibri" w:eastAsia="Calibri" w:hAnsi="Calibri"/>
          <w:sz w:val="20"/>
          <w:szCs w:val="20"/>
          <w:u w:val="single"/>
          <w:rtl w:val="0"/>
        </w:rPr>
        <w:tab/>
      </w:r>
      <w:r w:rsidDel="00000000" w:rsidR="00000000" w:rsidRPr="00000000">
        <w:rPr>
          <w:rFonts w:ascii="Calibri" w:cs="Calibri" w:eastAsia="Calibri" w:hAnsi="Calibri"/>
          <w:sz w:val="20"/>
          <w:szCs w:val="20"/>
          <w:rtl w:val="0"/>
        </w:rPr>
        <w:t xml:space="preserve">residente in</w:t>
      </w:r>
      <w:r w:rsidDel="00000000" w:rsidR="00000000" w:rsidRPr="00000000">
        <w:rPr>
          <w:rFonts w:ascii="Calibri" w:cs="Calibri" w:eastAsia="Calibri" w:hAnsi="Calibri"/>
          <w:sz w:val="20"/>
          <w:szCs w:val="20"/>
          <w:u w:val="single"/>
          <w:rtl w:val="0"/>
        </w:rPr>
        <w:tab/>
      </w:r>
      <w:r w:rsidDel="00000000" w:rsidR="00000000" w:rsidRPr="00000000">
        <w:rPr>
          <w:rFonts w:ascii="Calibri" w:cs="Calibri" w:eastAsia="Calibri" w:hAnsi="Calibri"/>
          <w:sz w:val="20"/>
          <w:szCs w:val="20"/>
          <w:rtl w:val="0"/>
        </w:rPr>
        <w:t xml:space="preserve">insegnante di  </w:t>
      </w:r>
      <w:r w:rsidDel="00000000" w:rsidR="00000000" w:rsidRPr="00000000">
        <w:rPr>
          <w:rFonts w:ascii="Calibri" w:cs="Calibri" w:eastAsia="Calibri" w:hAnsi="Calibri"/>
          <w:sz w:val="20"/>
          <w:szCs w:val="20"/>
          <w:u w:val="single"/>
          <w:rtl w:val="0"/>
        </w:rPr>
        <w:t xml:space="preserve"> </w:t>
        <w:tab/>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0A">
      <w:pPr>
        <w:tabs>
          <w:tab w:val="left" w:leader="none" w:pos="2722"/>
          <w:tab w:val="left" w:leader="none" w:pos="2893"/>
          <w:tab w:val="left" w:leader="none" w:pos="8495"/>
        </w:tabs>
        <w:spacing w:before="59" w:line="357" w:lineRule="auto"/>
        <w:ind w:left="224" w:right="110" w:firstLine="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(classe di concorso</w:t>
      </w:r>
      <w:r w:rsidDel="00000000" w:rsidR="00000000" w:rsidRPr="00000000">
        <w:rPr>
          <w:rFonts w:ascii="Calibri" w:cs="Calibri" w:eastAsia="Calibri" w:hAnsi="Calibri"/>
          <w:sz w:val="20"/>
          <w:szCs w:val="20"/>
          <w:u w:val="single"/>
          <w:rtl w:val="0"/>
        </w:rPr>
        <w:tab/>
        <w:tab/>
      </w:r>
      <w:r w:rsidDel="00000000" w:rsidR="00000000" w:rsidRPr="00000000">
        <w:rPr>
          <w:rFonts w:ascii="Calibri" w:cs="Calibri" w:eastAsia="Calibri" w:hAnsi="Calibri"/>
          <w:sz w:val="20"/>
          <w:szCs w:val="20"/>
          <w:rtl w:val="0"/>
        </w:rPr>
        <w:t xml:space="preserve">) immesso in ruolo ai sensi</w:t>
      </w:r>
      <w:r w:rsidDel="00000000" w:rsidR="00000000" w:rsidRPr="00000000">
        <w:rPr>
          <w:rFonts w:ascii="Calibri" w:cs="Calibri" w:eastAsia="Calibri" w:hAnsi="Calibri"/>
          <w:sz w:val="20"/>
          <w:szCs w:val="20"/>
          <w:u w:val="single"/>
          <w:rtl w:val="0"/>
        </w:rPr>
        <w:tab/>
      </w:r>
      <w:r w:rsidDel="00000000" w:rsidR="00000000" w:rsidRPr="00000000">
        <w:rPr>
          <w:rFonts w:ascii="Calibri" w:cs="Calibri" w:eastAsia="Calibri" w:hAnsi="Calibri"/>
          <w:sz w:val="20"/>
          <w:szCs w:val="20"/>
          <w:rtl w:val="0"/>
        </w:rPr>
        <w:t xml:space="preserve">con effettiva assunzione in servizio dal</w:t>
      </w:r>
      <w:r w:rsidDel="00000000" w:rsidR="00000000" w:rsidRPr="00000000">
        <w:rPr>
          <w:rFonts w:ascii="Calibri" w:cs="Calibri" w:eastAsia="Calibri" w:hAnsi="Calibri"/>
          <w:sz w:val="20"/>
          <w:szCs w:val="20"/>
          <w:u w:val="single"/>
          <w:rtl w:val="0"/>
        </w:rPr>
        <w:tab/>
      </w:r>
      <w:r w:rsidDel="00000000" w:rsidR="00000000" w:rsidRPr="00000000">
        <w:rPr>
          <w:rFonts w:ascii="Calibri" w:cs="Calibri" w:eastAsia="Calibri" w:hAnsi="Calibri"/>
          <w:sz w:val="20"/>
          <w:szCs w:val="20"/>
          <w:rtl w:val="0"/>
        </w:rPr>
        <w:t xml:space="preserve">, ai fini della compilazione della graduatoria d’istituto prevista dal CCNI vigente, consapevole delle responsabilità civili e penali cui va incontro in caso di dichiarazione non corrispondente al vero,ai sensi del DPR 28.12.2000 n.</w:t>
      </w:r>
    </w:p>
    <w:p w:rsidR="00000000" w:rsidDel="00000000" w:rsidP="00000000" w:rsidRDefault="00000000" w:rsidRPr="00000000" w14:paraId="0000000B">
      <w:pPr>
        <w:ind w:left="224" w:firstLine="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445, così come modificato ed integrato dall’art. 15 della legge 16.1.2003,</w:t>
      </w:r>
    </w:p>
    <w:p w:rsidR="00000000" w:rsidDel="00000000" w:rsidP="00000000" w:rsidRDefault="00000000" w:rsidRPr="00000000" w14:paraId="0000000C">
      <w:pPr>
        <w:spacing w:before="126" w:lineRule="auto"/>
        <w:ind w:left="4494" w:right="4458" w:firstLine="0"/>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dichiara</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9" w:line="240" w:lineRule="auto"/>
        <w:ind w:left="0" w:right="0" w:firstLine="0"/>
        <w:jc w:val="left"/>
        <w:rPr>
          <w:rFonts w:ascii="Calibri" w:cs="Calibri" w:eastAsia="Calibri" w:hAnsi="Calibri"/>
          <w:b w:val="1"/>
          <w:i w:val="0"/>
          <w:smallCaps w:val="0"/>
          <w:strike w:val="0"/>
          <w:color w:val="000000"/>
          <w:sz w:val="18"/>
          <w:szCs w:val="18"/>
          <w:u w:val="none"/>
          <w:shd w:fill="auto" w:val="clear"/>
          <w:vertAlign w:val="baseline"/>
        </w:rPr>
      </w:pPr>
      <w:r w:rsidDel="00000000" w:rsidR="00000000" w:rsidRPr="00000000">
        <w:rPr>
          <w:rtl w:val="0"/>
        </w:rPr>
      </w:r>
    </w:p>
    <w:tbl>
      <w:tblPr>
        <w:tblStyle w:val="Table1"/>
        <w:tblW w:w="10310.0" w:type="dxa"/>
        <w:jc w:val="left"/>
        <w:tblInd w:w="123.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7542"/>
        <w:gridCol w:w="785"/>
        <w:gridCol w:w="706"/>
        <w:gridCol w:w="1277"/>
        <w:tblGridChange w:id="0">
          <w:tblGrid>
            <w:gridCol w:w="7542"/>
            <w:gridCol w:w="785"/>
            <w:gridCol w:w="706"/>
            <w:gridCol w:w="1277"/>
          </w:tblGrid>
        </w:tblGridChange>
      </w:tblGrid>
      <w:tr>
        <w:trPr>
          <w:cantSplit w:val="0"/>
          <w:trHeight w:val="476" w:hRule="atLeast"/>
          <w:tblHeader w:val="0"/>
        </w:trPr>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3" w:lineRule="auto"/>
              <w:ind w:left="1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da compilare a cura dell'interessato</w:t>
            </w:r>
          </w:p>
        </w:tc>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3" w:lineRule="auto"/>
              <w:ind w:left="2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Anni</w:t>
            </w:r>
          </w:p>
        </w:tc>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3" w:lineRule="auto"/>
              <w:ind w:left="16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Punti</w:t>
            </w:r>
          </w:p>
        </w:tc>
        <w:tc>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8" w:lineRule="auto"/>
              <w:ind w:left="107" w:right="27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Riservato al Dir.Scol.</w:t>
            </w:r>
          </w:p>
        </w:tc>
      </w:tr>
      <w:tr>
        <w:trPr>
          <w:cantSplit w:val="0"/>
          <w:trHeight w:val="452" w:hRule="atLeast"/>
          <w:tblHeader w:val="0"/>
        </w:trPr>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 w:line="240" w:lineRule="auto"/>
              <w:ind w:left="112"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I -ANZIANITÀ DI SERVIZIO:</w:t>
            </w:r>
          </w:p>
        </w:tc>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621" w:hRule="atLeast"/>
          <w:tblHeader w:val="0"/>
        </w:trPr>
        <w:tc>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1" w:lineRule="auto"/>
              <w:ind w:left="1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 per ogni anno di servizio comunque prestato, successivamente alla decorrenza giuridica della</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003"/>
              </w:tabs>
              <w:spacing w:after="0" w:before="0" w:line="190" w:lineRule="auto"/>
              <w:ind w:left="0" w:right="123" w:firstLine="0"/>
              <w:jc w:val="righ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nomina, nel ruolo di appartenenza(l)</w:t>
              <w:tab/>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6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(comune)</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5" w:lineRule="auto"/>
              <w:ind w:left="0" w:right="112" w:firstLine="0"/>
              <w:jc w:val="righ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12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(sostegno)</w:t>
            </w:r>
          </w:p>
        </w:tc>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822" w:hRule="atLeast"/>
          <w:tblHeader w:val="0"/>
        </w:trPr>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8" w:lineRule="auto"/>
              <w:ind w:left="112" w:right="78" w:firstLine="6.999999999999993"/>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Al) per ogni anno di servizio effettivamente prestato (2) dopo la nomina nel ruolo di appartenenza (1) in scuole o istituti situati nelle piccole isole (3) in aggiunta al punteggio di cui al punto A)</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8" w:lineRule="auto"/>
              <w:ind w:left="0" w:right="91" w:firstLine="0"/>
              <w:jc w:val="righ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6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(comune)</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3" w:lineRule="auto"/>
              <w:ind w:left="0" w:right="160" w:firstLine="0"/>
              <w:jc w:val="righ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12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(sostegno)</w:t>
            </w:r>
          </w:p>
        </w:tc>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693" w:hRule="atLeast"/>
          <w:tblHeader w:val="0"/>
        </w:trPr>
        <w:tc>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778"/>
              </w:tabs>
              <w:spacing w:after="0" w:before="1" w:line="230" w:lineRule="auto"/>
              <w:ind w:left="112" w:right="197"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B) per ogni anno di servizio preruolo o di altro servizio di ruolo riconosciuto o riconoscibile ai fini della carriera e per ogni anno di servizio preruolo o di altro servizio di ruolo prestato nella scuola dell’infanzia (4)</w:t>
              <w:tab/>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3</w:t>
            </w:r>
          </w:p>
        </w:tc>
        <w:tc>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925" w:hRule="atLeast"/>
          <w:tblHeader w:val="0"/>
        </w:trPr>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589"/>
              </w:tabs>
              <w:spacing w:after="0" w:before="0" w:line="232" w:lineRule="auto"/>
              <w:ind w:left="112" w:right="218"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B1) per ogni anno di servizio preruolo o di altro servizio di ruolo riconosciuto o riconoscibile ai fini della carriera o per ogni anno di servizio preruolo o di altro servizio di ruolo nella scuola dell'infanzia, effettivamente prestato (2) in scuole o istituti situati nelle piccole isole (3) (4) in aggiunta al punteggio di cui al punto B)</w:t>
              <w:tab/>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3</w:t>
            </w:r>
          </w:p>
        </w:tc>
        <w:tc>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180" w:hRule="atLeast"/>
          <w:tblHeader w:val="0"/>
        </w:trPr>
        <w:tc>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12" w:right="78"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B2) (valido solo per i docenti della scuola primaria) per ogni anno di servizio di ruolo effettivamente prestato come "specialista" per l'insegnamento della lingua straniera dall'anno scolastico 92/93 fino all' anno scolastico 97/98 (in aggiunta al punteggio di cui alle lettere B e B1) rispettivamente:</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730"/>
              </w:tabs>
              <w:spacing w:after="0" w:before="0" w:line="196" w:lineRule="auto"/>
              <w:ind w:left="112" w:right="0"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Arial MT" w:cs="Arial MT" w:eastAsia="Arial MT" w:hAnsi="Arial MT"/>
                <w:b w:val="0"/>
                <w:i w:val="0"/>
                <w:smallCaps w:val="0"/>
                <w:strike w:val="0"/>
                <w:color w:val="000000"/>
                <w:sz w:val="15"/>
                <w:szCs w:val="15"/>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se il servizio </w:t>
            </w:r>
            <w:r w:rsidDel="00000000" w:rsidR="00000000" w:rsidRPr="00000000">
              <w:rPr>
                <w:rFonts w:ascii="Times New Roman" w:cs="Times New Roman" w:eastAsia="Times New Roman" w:hAnsi="Times New Roman"/>
                <w:b w:val="0"/>
                <w:i w:val="0"/>
                <w:smallCaps w:val="0"/>
                <w:strike w:val="0"/>
                <w:color w:val="000000"/>
                <w:sz w:val="4"/>
                <w:szCs w:val="4"/>
                <w:u w:val="none"/>
                <w:shd w:fill="auto" w:val="clear"/>
                <w:vertAlign w:val="baseline"/>
                <w:rtl w:val="0"/>
              </w:rPr>
              <w:t xml:space="preserve">é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prestato nell'ambito del plesso di titolarità .....................</w:t>
              <w:tab/>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0,5</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797"/>
              </w:tabs>
              <w:spacing w:after="0" w:before="0" w:line="203" w:lineRule="auto"/>
              <w:ind w:left="112" w:right="0"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Arial MT" w:cs="Arial MT" w:eastAsia="Arial MT" w:hAnsi="Arial MT"/>
                <w:b w:val="0"/>
                <w:i w:val="0"/>
                <w:smallCaps w:val="0"/>
                <w:strike w:val="0"/>
                <w:color w:val="000000"/>
                <w:sz w:val="15"/>
                <w:szCs w:val="15"/>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se il servizio </w:t>
            </w:r>
            <w:r w:rsidDel="00000000" w:rsidR="00000000" w:rsidRPr="00000000">
              <w:rPr>
                <w:rFonts w:ascii="Times New Roman" w:cs="Times New Roman" w:eastAsia="Times New Roman" w:hAnsi="Times New Roman"/>
                <w:b w:val="0"/>
                <w:i w:val="0"/>
                <w:smallCaps w:val="0"/>
                <w:strike w:val="0"/>
                <w:color w:val="000000"/>
                <w:sz w:val="4"/>
                <w:szCs w:val="4"/>
                <w:u w:val="none"/>
                <w:shd w:fill="auto" w:val="clear"/>
                <w:vertAlign w:val="baseline"/>
                <w:rtl w:val="0"/>
              </w:rPr>
              <w:t xml:space="preserve">é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stato prestato al di fuori del plesso di titolarità ................</w:t>
              <w:tab/>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1</w:t>
            </w:r>
          </w:p>
        </w:tc>
        <w:tc>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857" w:hRule="atLeast"/>
          <w:tblHeader w:val="0"/>
        </w:trPr>
        <w:tc>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817"/>
              </w:tabs>
              <w:spacing w:after="0" w:before="0" w:line="232" w:lineRule="auto"/>
              <w:ind w:left="112" w:right="38"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Al), B), B1), B2), B3) (N.B.: per i trasferimenti d'ufficio si veda anche la nota 5 bis).</w:t>
              <w:tab/>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6</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7" w:lineRule="auto"/>
              <w:ind w:left="1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Per ogni ulteriore anno di servizio:</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869"/>
              </w:tabs>
              <w:spacing w:after="0" w:before="0" w:line="200" w:lineRule="auto"/>
              <w:ind w:left="158" w:right="0"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entro il quinquennio</w:t>
              <w:tab/>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2</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869"/>
              </w:tabs>
              <w:spacing w:after="0" w:before="0" w:line="200" w:lineRule="auto"/>
              <w:ind w:left="112" w:right="0"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oltre il quinquennio</w:t>
              <w:tab/>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3</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3" w:lineRule="auto"/>
              <w:ind w:left="1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per il servizio prestato nelle piccole isole il punteggio si raddoppia</w:t>
            </w:r>
          </w:p>
        </w:tc>
        <w:tc>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616" w:hRule="atLeast"/>
          <w:tblHeader w:val="0"/>
        </w:trPr>
        <w:tc>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718"/>
              </w:tabs>
              <w:spacing w:after="0" w:before="0" w:line="232" w:lineRule="auto"/>
              <w:ind w:left="112" w:right="101"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 0) Per ogni anno di servizio di ruolo prestato nella sede di attuale titolarità senza soluzione di continuità in aggiunta a quello previsto dalle lettere A), A1), B), B1), B2), B3)</w:t>
              <w:tab/>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1</w:t>
            </w:r>
          </w:p>
        </w:tc>
        <w:tc>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991" w:hRule="atLeast"/>
          <w:tblHeader w:val="0"/>
        </w:trPr>
        <w:tc>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1" w:lineRule="auto"/>
              <w:ind w:left="1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Cl) per i docenti della scuola primaria:</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32" w:lineRule="auto"/>
              <w:ind w:left="1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per il servizio di ruolo effettivamente prestato per un solo triennio senza soluzione di continuità, a partire dall' anno scolastico 92/93 fino all' anno scolastico 97/98, come docente "</w:t>
            </w:r>
            <w:r w:rsidDel="00000000" w:rsidR="00000000" w:rsidRPr="00000000">
              <w:rPr>
                <w:rFonts w:ascii="Times New Roman" w:cs="Times New Roman" w:eastAsia="Times New Roman" w:hAnsi="Times New Roman"/>
                <w:b w:val="0"/>
                <w:i w:val="1"/>
                <w:smallCaps w:val="0"/>
                <w:strike w:val="0"/>
                <w:color w:val="000000"/>
                <w:sz w:val="18"/>
                <w:szCs w:val="18"/>
                <w:u w:val="none"/>
                <w:shd w:fill="auto" w:val="clear"/>
                <w:vertAlign w:val="baseline"/>
                <w:rtl w:val="0"/>
              </w:rPr>
              <w:t xml:space="preserve">specializzato"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per l'insegnamento della lingua straniera (in aggiunta a quello previsto dalle lettere A), Al), B), B2), C)</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12" w:right="95" w:firstLine="6615"/>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1,5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0" w:lineRule="auto"/>
              <w:ind w:left="6821" w:right="0"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3</w:t>
            </w:r>
          </w:p>
        </w:tc>
        <w:tc>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959" w:hRule="atLeast"/>
          <w:tblHeader w:val="0"/>
        </w:trPr>
        <w:tc>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723"/>
              </w:tabs>
              <w:spacing w:after="0" w:before="11" w:line="216" w:lineRule="auto"/>
              <w:ind w:left="112" w:right="130"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 a coloro che, per un triennio, a decorrere dalle operazioni di mobilità per l'a.s. 2000/2001 e fino all'a.s. 2007/2008, non abbiano presentato domanda di trasferimento provinciale o passaggio provinciale o, pur avendo presentato domanda, l'abbiano revocata nei termini previsti, è riconosciuto, per il predetto triennio, una tantum, un punteggio aggiuntivo di (5ter)</w:t>
              <w:tab/>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l0</w:t>
            </w:r>
          </w:p>
        </w:tc>
        <w:tc>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412"/>
        </w:tabs>
        <w:spacing w:after="0" w:before="0" w:line="240" w:lineRule="auto"/>
        <w:ind w:left="411" w:right="0" w:hanging="188"/>
        <w:jc w:val="both"/>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-ESIGENZE DI FAMIGLIA (6) (7):</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6"/>
          <w:szCs w:val="6"/>
          <w:u w:val="none"/>
          <w:shd w:fill="auto" w:val="clear"/>
          <w:vertAlign w:val="baseline"/>
        </w:rPr>
      </w:pPr>
      <w:r w:rsidDel="00000000" w:rsidR="00000000" w:rsidRPr="00000000">
        <w:rPr>
          <w:rtl w:val="0"/>
        </w:rPr>
      </w:r>
    </w:p>
    <w:tbl>
      <w:tblPr>
        <w:tblStyle w:val="Table2"/>
        <w:tblW w:w="10361.0" w:type="dxa"/>
        <w:jc w:val="left"/>
        <w:tblInd w:w="123.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7727"/>
        <w:gridCol w:w="1364"/>
        <w:gridCol w:w="1270"/>
        <w:tblGridChange w:id="0">
          <w:tblGrid>
            <w:gridCol w:w="7727"/>
            <w:gridCol w:w="1364"/>
            <w:gridCol w:w="1270"/>
          </w:tblGrid>
        </w:tblGridChange>
      </w:tblGrid>
      <w:tr>
        <w:trPr>
          <w:cantSplit w:val="0"/>
          <w:trHeight w:val="409" w:hRule="atLeast"/>
          <w:tblHeader w:val="0"/>
        </w:trPr>
        <w:tc>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3" w:lineRule="auto"/>
              <w:ind w:left="1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Tipo di esigenza</w:t>
            </w:r>
          </w:p>
        </w:tc>
        <w:tc>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0" w:lineRule="auto"/>
              <w:ind w:left="10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Punti</w:t>
            </w:r>
          </w:p>
        </w:tc>
        <w:tc>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78" w:lineRule="auto"/>
              <w:ind w:left="105"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Riservato al</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 w:lineRule="auto"/>
              <w:ind w:left="105"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Dir.Scol.</w:t>
            </w:r>
          </w:p>
        </w:tc>
      </w:tr>
      <w:tr>
        <w:trPr>
          <w:cantSplit w:val="0"/>
          <w:trHeight w:val="664" w:hRule="atLeast"/>
          <w:tblHeader w:val="0"/>
        </w:trPr>
        <w:tc>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12" w:right="107"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 per ricongiungimento al coniuge ovvero, nel caso di docenti senza coniuge o separati giudizialmente o consensualmente con atto omologato dal tribunale, per ricongiungimento ai genitori o ai figli (7)</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6908" w:right="0"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6</w:t>
            </w:r>
          </w:p>
        </w:tc>
        <w:tc>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73" w:hRule="atLeast"/>
          <w:tblHeader w:val="0"/>
        </w:trPr>
        <w:tc>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925"/>
              </w:tabs>
              <w:spacing w:after="0" w:before="24" w:line="240" w:lineRule="auto"/>
              <w:ind w:left="112" w:right="0"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B) per ogni figlio di età inferiore a sei anni (8)</w:t>
              <w:tab/>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4</w:t>
            </w:r>
          </w:p>
        </w:tc>
        <w:tc>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693" w:hRule="atLeast"/>
          <w:tblHeader w:val="0"/>
        </w:trPr>
        <w:tc>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78" w:lineRule="auto"/>
              <w:ind w:left="0" w:right="230" w:firstLine="0"/>
              <w:jc w:val="righ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 per ogni figlio di età superiore ai sei anni, ma che non abbia superato il diciottesimo anno di età (8)</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8" w:lineRule="auto"/>
              <w:ind w:left="0" w:right="198" w:firstLine="0"/>
              <w:jc w:val="righ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ovvero per ogni figlio maggiorenne che risulti totalmente o permanentemente inabile a proficuo lavoro</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3" w:lineRule="auto"/>
              <w:ind w:left="0" w:right="248" w:firstLine="0"/>
              <w:jc w:val="righ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3</w:t>
            </w:r>
          </w:p>
        </w:tc>
        <w:tc>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692" w:hRule="atLeast"/>
          <w:tblHeader w:val="0"/>
        </w:trPr>
        <w:tc>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1" w:lineRule="auto"/>
              <w:ind w:left="112"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 per la cura e l'assistenza dei figli minorati fisici, psichici o sensoriali, tossicodipendenti, ovvero del</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903"/>
              </w:tabs>
              <w:spacing w:after="0" w:before="3" w:line="230" w:lineRule="auto"/>
              <w:ind w:left="112" w:right="253"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coniuge o del genitore totalmente e permanentemente inabili al lavoro che possono essere assistiti soltanto nel comune richiesto (9)</w:t>
              <w:tab/>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6</w:t>
            </w:r>
          </w:p>
        </w:tc>
        <w:tc>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484"/>
        </w:tabs>
        <w:spacing w:after="0" w:before="92" w:line="240" w:lineRule="auto"/>
        <w:ind w:left="483" w:right="0" w:hanging="260"/>
        <w:jc w:val="both"/>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-TITOLI GENERALI (15):</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9"/>
          <w:szCs w:val="9"/>
          <w:u w:val="none"/>
          <w:shd w:fill="auto" w:val="clear"/>
          <w:vertAlign w:val="baseline"/>
        </w:rPr>
      </w:pPr>
      <w:r w:rsidDel="00000000" w:rsidR="00000000" w:rsidRPr="00000000">
        <w:rPr>
          <w:rtl w:val="0"/>
        </w:rPr>
      </w:r>
    </w:p>
    <w:tbl>
      <w:tblPr>
        <w:tblStyle w:val="Table3"/>
        <w:tblW w:w="10372.0" w:type="dxa"/>
        <w:jc w:val="left"/>
        <w:tblInd w:w="123.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7741"/>
        <w:gridCol w:w="1354"/>
        <w:gridCol w:w="1277"/>
        <w:tblGridChange w:id="0">
          <w:tblGrid>
            <w:gridCol w:w="7741"/>
            <w:gridCol w:w="1354"/>
            <w:gridCol w:w="1277"/>
          </w:tblGrid>
        </w:tblGridChange>
      </w:tblGrid>
      <w:tr>
        <w:trPr>
          <w:cantSplit w:val="0"/>
          <w:trHeight w:val="409" w:hRule="atLeast"/>
          <w:tblHeader w:val="0"/>
        </w:trPr>
        <w:tc>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112"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Tipo di titolo</w:t>
            </w:r>
          </w:p>
        </w:tc>
        <w:tc>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0" w:lineRule="auto"/>
              <w:ind w:left="1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Punti</w:t>
            </w:r>
          </w:p>
        </w:tc>
        <w:tc>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8" w:lineRule="auto"/>
              <w:ind w:left="103" w:right="274"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Riservato al Dir.Scol.</w:t>
            </w:r>
          </w:p>
        </w:tc>
      </w:tr>
      <w:tr>
        <w:trPr>
          <w:cantSplit w:val="0"/>
          <w:trHeight w:val="618" w:hRule="atLeast"/>
          <w:tblHeader w:val="0"/>
        </w:trPr>
        <w:tc>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 w:lineRule="auto"/>
              <w:ind w:left="112" w:right="204"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 per il superamento di un pubblico concorso ordinario per esami e titoli, per l'accesso al ruolo di appartenenza (1), al momento della presentazione della domanda, o a ruoli di livello pari o superiore a quello di appartenenza (10)</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64" w:lineRule="auto"/>
              <w:ind w:left="6886"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 12</w:t>
            </w:r>
          </w:p>
        </w:tc>
        <w:tc>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550" w:hRule="atLeast"/>
          <w:tblHeader w:val="0"/>
        </w:trPr>
        <w:tc>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165"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 per ogni diploma di specializzazione conseguito in corsi post-laurea previsti dagli statuti ovvero dal 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968"/>
              </w:tabs>
              <w:spacing w:after="0" w:before="0" w:line="240" w:lineRule="auto"/>
              <w:ind w:left="112"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per ogni diploma</w:t>
              <w:tab/>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 5</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(è valutabile un solo diploma, per lo stesso o gli stessi anni accademici o di corso)</w:t>
            </w:r>
          </w:p>
        </w:tc>
        <w:tc>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553" w:hRule="atLeast"/>
          <w:tblHeader w:val="0"/>
        </w:trPr>
        <w:tc>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 w:lineRule="auto"/>
              <w:ind w:left="431" w:right="0" w:hanging="178"/>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 per ogni diploma universitario (diploma accademico di primo livello, laurea di primo livello o breve o diploma Istituto Superiore di Educazione Fisica (ISEF), conseguito oltre al titolo di studio attualmente necessario per</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961"/>
              </w:tabs>
              <w:spacing w:after="0" w:before="0" w:line="176" w:lineRule="auto"/>
              <w:ind w:left="287"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l'accesso al ruolo di appartenenza (12)</w:t>
              <w:tab/>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 3</w:t>
            </w:r>
          </w:p>
        </w:tc>
        <w:tc>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283" w:hRule="atLeast"/>
          <w:tblHeader w:val="0"/>
        </w:trPr>
        <w:tc>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58" w:lineRule="auto"/>
              <w:ind w:left="112"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 per ogni corso di perfezionamento di durata non inferiore ad un anno, (13) previsto dagli statuti ovvero dal D.P.R.</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 w:lineRule="auto"/>
              <w:ind w:left="112" w:right="204"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922"/>
              </w:tabs>
              <w:spacing w:after="0" w:before="0" w:line="163" w:lineRule="auto"/>
              <w:ind w:left="112"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per ogni corso</w:t>
              <w:tab/>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1</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2" w:lineRule="auto"/>
              <w:ind w:left="112"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(è valutabile un solo corso, per lo stesso o gli stessi anni accademici)</w:t>
            </w:r>
          </w:p>
        </w:tc>
        <w:tc>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957" w:hRule="atLeast"/>
          <w:tblHeader w:val="0"/>
        </w:trPr>
        <w:tc>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901"/>
              </w:tabs>
              <w:spacing w:after="0" w:before="0" w:line="235" w:lineRule="auto"/>
              <w:ind w:left="112" w:right="173"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E)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31/12/2012-L. n. 228/2012) conseguito oltre al titolo di studio attualmente necessario per l'accesso al ruolo di appartenenza (12) ...</w:t>
              <w:tab/>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 5</w:t>
            </w:r>
          </w:p>
        </w:tc>
        <w:tc>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893"/>
              </w:tabs>
              <w:spacing w:after="0" w:before="0" w:line="176" w:lineRule="auto"/>
              <w:ind w:left="112"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F) per il conseguimento del titolo di "dottorato di ricerca"</w:t>
              <w:tab/>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 5</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2" w:lineRule="auto"/>
              <w:ind w:left="112"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(si valuta un solo titolo)</w:t>
            </w:r>
          </w:p>
        </w:tc>
        <w:tc>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733" w:hRule="atLeast"/>
          <w:tblHeader w:val="0"/>
        </w:trPr>
        <w:tc>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893"/>
              </w:tabs>
              <w:spacing w:after="0" w:before="0" w:line="180" w:lineRule="auto"/>
              <w:ind w:left="112" w:right="33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G)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 CEDE, BDP oggi, rispettivamente, INVALSI, INDIRE) e dell'università (16)</w:t>
              <w:tab/>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1</w:t>
            </w:r>
          </w:p>
        </w:tc>
        <w:tc>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810" w:hRule="atLeast"/>
          <w:tblHeader w:val="0"/>
        </w:trPr>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865"/>
              </w:tabs>
              <w:spacing w:after="0" w:before="0" w:line="235" w:lineRule="auto"/>
              <w:ind w:left="112" w:right="173"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H) per ogni partecipazione agli esami di stato conclusivi dei corsi di studio di istruzione secondaria superiore di cui alla legge 10/12/97 n. 425 e al D.P.R. 23.7.1998 n.323, fino all' anno scolastico 2000/2001, in qualità di presidente di commissione o di componente esterno o di componente interno, compresa l'attività svolta dal docente di sostegno all'alunno disabile che sostiene l'esame.</w:t>
              <w:tab/>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1</w:t>
            </w:r>
          </w:p>
        </w:tc>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319" w:hRule="atLeast"/>
          <w:tblHeader w:val="0"/>
        </w:trPr>
        <w:tc>
          <w:tcPr/>
          <w:p w:rsidR="00000000" w:rsidDel="00000000" w:rsidP="00000000" w:rsidRDefault="00000000" w:rsidRPr="00000000" w14:paraId="0000008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93"/>
                <w:tab w:val="left" w:leader="none" w:pos="6855"/>
              </w:tabs>
              <w:spacing w:after="0" w:before="0" w:line="235" w:lineRule="auto"/>
              <w:ind w:left="112" w:right="315"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CLIL di Corso di Perfezionamento per l’insegnamento di una disciplina non linguistica in lingua straniera di cui al Decreto Direttoriale n. 6 del 16 aprile 2012 rilasciato da strutture universitarie in possesso dei requisiti di cui all’art. 3, comma 3 del D.M. del 30 settembre 2011.</w:t>
              <w:tab/>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1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N.B.: il certificato viene rilasciato solo a chi</w:t>
            </w:r>
          </w:p>
          <w:p w:rsidR="00000000" w:rsidDel="00000000" w:rsidP="00000000" w:rsidRDefault="00000000" w:rsidRPr="00000000" w14:paraId="00000087">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28"/>
                <w:tab w:val="left" w:leader="none" w:pos="829"/>
              </w:tabs>
              <w:spacing w:after="0" w:before="0" w:line="172" w:lineRule="auto"/>
              <w:ind w:left="828" w:right="0" w:hanging="357"/>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È in possesso di certificazione di Livello C1 del QCER (art 4 comma 2)</w:t>
            </w:r>
          </w:p>
          <w:p w:rsidR="00000000" w:rsidDel="00000000" w:rsidP="00000000" w:rsidRDefault="00000000" w:rsidRPr="00000000" w14:paraId="00000088">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28"/>
                <w:tab w:val="left" w:leader="none" w:pos="829"/>
              </w:tabs>
              <w:spacing w:after="0" w:before="0" w:line="180" w:lineRule="auto"/>
              <w:ind w:left="828" w:right="0" w:hanging="357"/>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Ha frequentato il corso metodologico</w:t>
            </w:r>
          </w:p>
          <w:p w:rsidR="00000000" w:rsidDel="00000000" w:rsidP="00000000" w:rsidRDefault="00000000" w:rsidRPr="00000000" w14:paraId="00000089">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28"/>
                <w:tab w:val="left" w:leader="none" w:pos="829"/>
              </w:tabs>
              <w:spacing w:after="0" w:before="0" w:line="188" w:lineRule="auto"/>
              <w:ind w:left="828" w:right="0" w:hanging="357"/>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Sostenuto la prova finale</w:t>
            </w:r>
          </w:p>
        </w:tc>
        <w:tc>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914" w:hRule="atLeast"/>
          <w:tblHeader w:val="0"/>
        </w:trPr>
        <w:tc>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 w:lineRule="auto"/>
              <w:ind w:left="112"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L) CLIL per i docenti NON in possesso di Certificazione di livello C1, ma che avendo svolto la parte metodologica presso le strutture universitarie, sono in possesso di un ATTESTATO di frequenza al corso di perfezionamento.</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60" w:lineRule="auto"/>
              <w:ind w:left="6886"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 0,5</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12" w:right="204"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N.B.: in questo caso il docente ha una competenza linguistica B2 NON certificata, ma ha frequentato il corso e superato l’esame finale.</w:t>
            </w:r>
          </w:p>
        </w:tc>
        <w:tc>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60" w:hRule="atLeast"/>
          <w:tblHeader w:val="0"/>
        </w:trPr>
        <w:tc>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886"/>
              </w:tabs>
              <w:spacing w:after="0" w:before="0" w:line="237" w:lineRule="auto"/>
              <w:ind w:left="112" w:right="195" w:firstLine="0"/>
              <w:jc w:val="left"/>
              <w:rPr>
                <w:rFonts w:ascii="Times New Roman" w:cs="Times New Roman" w:eastAsia="Times New Roman" w:hAnsi="Times New Roman"/>
                <w:b w:val="1"/>
                <w:i w:val="1"/>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16"/>
                <w:szCs w:val="16"/>
                <w:u w:val="none"/>
                <w:shd w:fill="auto" w:val="clear"/>
                <w:vertAlign w:val="baseline"/>
                <w:rtl w:val="0"/>
              </w:rPr>
              <w:t xml:space="preserve">N.B. i titoli relativi a B), C), D), E), F), G), I), L), anche cumulabili tra di loro, sono valutati fino ad un massimo di</w:t>
              <w:tab/>
              <w:t xml:space="preserve">Punti l0</w:t>
            </w:r>
          </w:p>
        </w:tc>
        <w:tc>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73" w:hRule="atLeast"/>
          <w:tblHeader w:val="0"/>
        </w:trPr>
        <w:tc>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112"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TOTALE PUNTI</w:t>
            </w:r>
          </w:p>
        </w:tc>
        <w:tc>
          <w:tcPr>
            <w:gridSpan w:val="2"/>
            <w:tcBorders>
              <w:bottom w:color="000000" w:space="0" w:sz="0" w:val="nil"/>
            </w:tcBorders>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68" w:lineRule="auto"/>
        <w:ind w:left="224"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Si allega una dichiarazione, conforme agli all. D), F)</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3" w:lineRule="auto"/>
        <w:ind w:left="224"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**Si allegano i seguenti documenti attestanti il possesso dei titoli di cui ai punti II (esigenze di famiglia) e III (titoli generali):</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86"/>
        </w:tabs>
        <w:spacing w:after="0" w:before="125" w:line="240" w:lineRule="auto"/>
        <w:ind w:left="224"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sectPr>
          <w:headerReference r:id="rId8" w:type="default"/>
          <w:headerReference r:id="rId9" w:type="first"/>
          <w:headerReference r:id="rId10" w:type="even"/>
          <w:footerReference r:id="rId11" w:type="default"/>
          <w:footerReference r:id="rId12" w:type="first"/>
          <w:footerReference r:id="rId13" w:type="even"/>
          <w:pgSz w:h="16860" w:w="11940" w:orient="portrait"/>
          <w:pgMar w:bottom="280" w:top="640" w:left="520" w:right="600" w:header="286" w:footer="0"/>
          <w:pgNumType w:start="1"/>
        </w:sect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Data .......................................</w:t>
        <w:tab/>
        <w:t xml:space="preserve">firma ..............................................................................................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 w:line="240" w:lineRule="auto"/>
        <w:ind w:left="790" w:right="122"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NOTE COMUNI ALLE TABELLE DEI TRASFERIMENTI A DOMANDA E D’UFFICIO E DEI PASSAGGI DEI DOCENTI DELLE SCUOLE DELL’INFANZIA, PRIMARIA, SECONDARIA DI I GRADO E DEGLI ISTITUTI DI ISTRUZIONE SECONDARIA DI II GRADO ED ARTISTICA E DEL PERSONALE EDUCATIVO</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73" w:right="4458"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 R E M E S S A</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790" w:right="116"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Ai fini dell’attribuzione del punteggio per le domande di trasferimento, per le domande di passaggio di ruolo e per l’individuazione del perdente posto si precisa quanto segue:</w:t>
      </w:r>
    </w:p>
    <w:p w:rsidR="00000000" w:rsidDel="00000000" w:rsidP="00000000" w:rsidRDefault="00000000" w:rsidRPr="00000000" w14:paraId="000000A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97"/>
        </w:tabs>
        <w:spacing w:after="0" w:before="0" w:line="190" w:lineRule="auto"/>
        <w:ind w:left="896" w:right="0" w:hanging="107.00000000000003"/>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nell’anzianità di servizio non si tiene conto dell’anno scolastico in corso;</w:t>
      </w:r>
    </w:p>
    <w:p w:rsidR="00000000" w:rsidDel="00000000" w:rsidP="00000000" w:rsidRDefault="00000000" w:rsidRPr="00000000" w14:paraId="000000A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97"/>
        </w:tabs>
        <w:spacing w:after="0" w:before="0" w:line="191" w:lineRule="auto"/>
        <w:ind w:left="896" w:right="0" w:hanging="107.00000000000003"/>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nella valutazione dei titoli vengono considerati quelli posseduti entro il termine previsto per la presentazione della domanda;</w:t>
      </w:r>
    </w:p>
    <w:p w:rsidR="00000000" w:rsidDel="00000000" w:rsidP="00000000" w:rsidRDefault="00000000" w:rsidRPr="00000000" w14:paraId="000000A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99"/>
        </w:tabs>
        <w:spacing w:after="0" w:before="2" w:line="230" w:lineRule="auto"/>
        <w:ind w:left="790" w:right="112"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nella valutazione delle esigenze di famiglia (per il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790" w:right="115"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L’anzianità di servizio di cui alle lettere A) e B) del punto I della tabella deve essere attestata dall'interessato, con apposita dichiarazione personale conforme allo specifico modello allegato all'O.M. sulla mobilità del personale o a quello predisposto per le istanze on line.</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790" w:right="93"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L'anzianità di servizio di cui alla lettera A) comprende gli anni di servizio, comunque prestati successivamente alla decorrenza giuridica della nomina, nel ruolo di appartenenza. Non interrompe la maturazione del punteggio del servizio la fruizione del congedo biennale per l’assistenza a familiari con grave disabilità di cui all’art. 5 del D.L.vo n. 151/2001.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restitutio in integrum operata a seguito di un giudicato. Sono compresi nella lettera A) gli anni di servizio prestati dai docenti di educazione fisica nel ruolo unico (scuola secondaria di I grado ed istituti di istruzione secondaria di II grado) esistente prima dell'entrata in vigore della legge 30.3.1976, n. 88 art. 16, nonché nel ruolo ad esaurimento nel quale i docenti stessi furono inquadrati a norma della predetta legge. Il servizio prestato in ruoli diversi da quello di appartenenza, a seguito di utilizzazione o assegnazione provvisoria, è valutato ai sensi della lettera A) con riferimento al ruolo di appartenenza.</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0" w:right="11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pre-ruolo e di ruolo prestato nella scuola dell’infanzia da valutare nella stessa misura dei servizi prestati nella scuola primaria; comprende, altresì, il servizio di ruolo e non di ruolo prestato nell’insegnamento della religione cattolica ed i 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di tali servizi, debitamente certificati dall’Autorità diplomatica italiana nello Stato estero, è costituita presso ciascun Ufficio scolastico regionale un’apposita commissione per la definizione della corrispondenza tra servizi.</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35" w:lineRule="auto"/>
        <w:ind w:left="790" w:right="117"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L’anzianità di cui alla lettera B) comprende anche il servizio non di ruolo prestato per almeno 180 giorni o ininterrottamente dal 1 febbraio fino al termine delle operazioni di scrutinio finale o, in quanto riconoscibile, per la scuola dell’infanzia, fino al termine delle</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76" w:lineRule="auto"/>
        <w:ind w:left="79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attività educative, compreso quello militare o il sostitutivo servizio civile, nei limiti previsti dagli artt. 485, 487 e 490 del D.L.vo n.</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790" w:right="123"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297/94 ai fini della valutabilità per la carriera ovvero il servizio pre-ruolo prestato senza il prescritto titolo di specializzazione in scuole speciali o su posti di sostegno. Si rammenta che il servizio militare di leva, o il sostitutivo servizio civile, può essere valutato solo se prestato in costanza di rapporto di impiego. Il servizio prestato in qualità di incaricato ex art. 36 del CCNL 29/11/2007 è da valutare con lo stesso punteggio previsto per il servizio non di ruolo. Tale servizio, qualora abbia avuto una durata superiore a 180 gg interrompe la continuità.</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32" w:lineRule="auto"/>
        <w:ind w:left="79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La valutazione del servizio di cui alle lettere A), A1) e B) è riconosciuta anche al personale proveniente dagli Enti Locali e che abbia svolto, prima del trasferimento allo Stato, effettivo servizio di docente nelle scuole statali.</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790" w:right="11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Per gli insegnanti di educazione fisica non è riconoscibile il servizio prestato senza il possesso del diploma rilasciato dall'I.S.E.F. o di titoli equipollenti secondo l'ordinamento anteriore alla legge 7.2.1958, n. 88 (tab. A, classe Xxix D.M. 24.11.94, n. 334 e successive modifiche).</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790" w:right="171"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La valutazione del servizio pre-ruolo nella mobilità a domanda viene effettuata per intero, mentre nella mobilità d’ufficio viene effettuata nella seguente maniera:- i primi 4 anni sono valutati per intero - il periodo eccedente i 4 anni è valutato per i 2/3 (due terzi). Nel caso della mobilità d’ufficio, ad esempio, il docente che ha prestato 6 anni di servizio pre-ruolo, che viene riconosciuto o riconoscibile ai fini della progressione di carriera nella misura di 5 anni e 4 mesi, ha diritto, per tale servizio, all'attribuzione di punti 16 derivanti dal seguente calcolo:</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24"/>
          <w:tab w:val="left" w:leader="none" w:pos="4240"/>
        </w:tabs>
        <w:spacing w:after="0" w:before="0" w:line="216" w:lineRule="auto"/>
        <w:ind w:left="790" w:right="4566"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primi 4 anni (valutati per intero)</w:t>
        <w:tab/>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ab/>
        <w:t xml:space="preserve">4 anni x 3 punti = 12 punti rimanenti 2 anni (valutati due terzi)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2/3 x 2 anni x 3 punti = 4  punti</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13"/>
          <w:szCs w:val="13"/>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609600</wp:posOffset>
                </wp:positionH>
                <wp:positionV relativeFrom="paragraph">
                  <wp:posOffset>114300</wp:posOffset>
                </wp:positionV>
                <wp:extent cx="1270" cy="12700"/>
                <wp:effectExtent b="0" l="0" r="0" t="0"/>
                <wp:wrapTopAndBottom distB="0" distT="0"/>
                <wp:docPr id="3" name=""/>
                <a:graphic>
                  <a:graphicData uri="http://schemas.microsoft.com/office/word/2010/wordprocessingShape">
                    <wps:wsp>
                      <wps:cNvSpPr/>
                      <wps:cNvPr id="12" name="Shape 12"/>
                      <wps:spPr>
                        <a:xfrm>
                          <a:off x="5474905" y="3779365"/>
                          <a:ext cx="402590" cy="1270"/>
                        </a:xfrm>
                        <a:custGeom>
                          <a:rect b="b" l="l" r="r" t="t"/>
                          <a:pathLst>
                            <a:path extrusionOk="0" h="1270" w="402590">
                              <a:moveTo>
                                <a:pt x="0" y="0"/>
                              </a:moveTo>
                              <a:lnTo>
                                <a:pt x="40259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609600</wp:posOffset>
                </wp:positionH>
                <wp:positionV relativeFrom="paragraph">
                  <wp:posOffset>114300</wp:posOffset>
                </wp:positionV>
                <wp:extent cx="1270" cy="12700"/>
                <wp:effectExtent b="0" l="0" r="0" t="0"/>
                <wp:wrapTopAndBottom distB="0" distT="0"/>
                <wp:docPr id="3" name="image3.png"/>
                <a:graphic>
                  <a:graphicData uri="http://schemas.openxmlformats.org/drawingml/2006/picture">
                    <pic:pic>
                      <pic:nvPicPr>
                        <pic:cNvPr id="0" name="image3.png"/>
                        <pic:cNvPicPr preferRelativeResize="0"/>
                      </pic:nvPicPr>
                      <pic:blipFill>
                        <a:blip r:embed="rId14"/>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29"/>
          <w:tab w:val="left" w:leader="none" w:pos="5636"/>
        </w:tabs>
        <w:spacing w:after="0" w:before="0" w:line="240" w:lineRule="auto"/>
        <w:ind w:left="79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totale:     12 punti + 4 punti</w:t>
        <w:tab/>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ab/>
        <w:t xml:space="preserve">16 punti.</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240" w:lineRule="auto"/>
        <w:ind w:left="790" w:right="11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0" w:right="109"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sectPr>
          <w:type w:val="nextPage"/>
          <w:pgSz w:h="16860" w:w="11940" w:orient="portrait"/>
          <w:pgMar w:bottom="280" w:top="640" w:left="520" w:right="600" w:header="286" w:footer="0"/>
        </w:sect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Ciò non vuol dire che in tutti i casi il punteggio è raddoppiato in quanto, ad esempio, per quanto precedentemente esposto a proposito delle modalità di calcolo del servizio</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30" w:lineRule="auto"/>
        <w:ind w:left="790" w:right="169"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pre-ruolo, il punteggio derivante da 4 anni di pre-ruolo sulle piccole isole vale 24 punti sia nella mobilità volontaria che d’ufficio, mentre quello derivante da 8 anni assomma a 48 punti nella mobilità volontaria ed a 40 in quella d’ufficio.</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0" w:right="111"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0" w:right="108"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Al personale docente di ruolo che abbia frequentato, ai sensi dell'art. 2 della legge 13.8.1984, n. 476, i corsi di dottorato di ricerca e al personale docente di ruolo assegnatario di borse di studio - a norma dell'art. 453 del D.L.vo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7" w:lineRule="auto"/>
        <w:ind w:left="79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servizio prestato nelle scuole paritarie non è valutabile in quanto non riconoscibile ai fini della ricostruzione di carriera.</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32" w:lineRule="auto"/>
        <w:ind w:left="790" w:right="166"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 fatto salvo il riconoscimento del servizio prestato fino al 31.8.2008 nelle scuole paritarie primarie che abbiano mantenuto lo status di parificate congiuntamente a quello di paritarie e del servizio comunque prestato nelle scuole paritarie dell’infanzia comunali.</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79" w:lineRule="auto"/>
        <w:ind w:left="79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 O T E</w:t>
      </w:r>
    </w:p>
    <w:p w:rsidR="00000000" w:rsidDel="00000000" w:rsidP="00000000" w:rsidRDefault="00000000" w:rsidRPr="00000000" w14:paraId="000000C2">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051"/>
        </w:tabs>
        <w:spacing w:after="0" w:before="0" w:line="235" w:lineRule="auto"/>
        <w:ind w:left="790" w:right="24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ruolo di appartenenza va riferito rispettivamente: a) alla scuola dell’infanzia; b) alla scuola primaria; c) alla scuola secondaria di I grado; d) agli istituti di istruzione secondaria di II grado e artistica.</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790" w:right="121"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Va valutato nella misura prevista dalla presente voce il servizio prestato, a decorrere dall'anno scolastico 1978/79, dalle assistenti di scuola materna statale utilizzate, ai sensi dell'articolo 8 della legge n. 463/78, come insegnanti di scuola materna.</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790" w:right="114"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790" w:right="0"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single"/>
          <w:shd w:fill="auto" w:val="clear"/>
          <w:vertAlign w:val="baseline"/>
          <w:rtl w:val="0"/>
        </w:rPr>
        <w:t xml:space="preserve">Per ogni anno di insegnamento prestato, con il possesso del prescritto titolo di specializzazione, nelle scuole speciali o ad</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8"/>
          <w:szCs w:val="18"/>
          <w:u w:val="single"/>
          <w:shd w:fill="auto" w:val="clear"/>
          <w:vertAlign w:val="baseline"/>
          <w:rtl w:val="0"/>
        </w:rPr>
        <w:t xml:space="preserve">indirizzo didattico differenziato o nelle classi differenziali, o nei posti di sostegno, o nelle DOS, qualora il trasferimento a</w:t>
      </w:r>
      <w:r w:rsidDel="00000000" w:rsidR="00000000" w:rsidRPr="00000000">
        <w:rPr>
          <w:rtl w:val="0"/>
        </w:rPr>
      </w:r>
    </w:p>
    <w:p w:rsidR="00000000" w:rsidDel="00000000" w:rsidP="00000000" w:rsidRDefault="00000000" w:rsidRPr="00000000" w14:paraId="000000C9">
      <w:pPr>
        <w:spacing w:before="2" w:line="232" w:lineRule="auto"/>
        <w:ind w:left="790" w:right="123" w:firstLine="0"/>
        <w:rPr>
          <w:b w:val="1"/>
          <w:sz w:val="18"/>
          <w:szCs w:val="18"/>
        </w:rPr>
      </w:pPr>
      <w:r w:rsidDel="00000000" w:rsidR="00000000" w:rsidRPr="00000000">
        <w:rPr>
          <w:b w:val="1"/>
          <w:sz w:val="18"/>
          <w:szCs w:val="18"/>
          <w:u w:val="single"/>
          <w:rtl w:val="0"/>
        </w:rPr>
        <w:t xml:space="preserve"> d o ma n da o d ’u fficio sia richi esto in d ifferen tem en te sia p er le scu o le specia li , sia p er q u ell e a in d irizzo</w:t>
      </w:r>
      <w:r w:rsidDel="00000000" w:rsidR="00000000" w:rsidRPr="00000000">
        <w:rPr>
          <w:b w:val="1"/>
          <w:sz w:val="18"/>
          <w:szCs w:val="18"/>
          <w:rtl w:val="0"/>
        </w:rPr>
        <w:t xml:space="preserve"> </w:t>
      </w:r>
      <w:r w:rsidDel="00000000" w:rsidR="00000000" w:rsidRPr="00000000">
        <w:rPr>
          <w:b w:val="1"/>
          <w:sz w:val="18"/>
          <w:szCs w:val="18"/>
          <w:u w:val="single"/>
          <w:rtl w:val="0"/>
        </w:rPr>
        <w:t xml:space="preserve">d ida ttico d ifferen ziato</w:t>
      </w:r>
      <w:r w:rsidDel="00000000" w:rsidR="00000000" w:rsidRPr="00000000">
        <w:rPr>
          <w:b w:val="1"/>
          <w:sz w:val="18"/>
          <w:szCs w:val="18"/>
          <w:rtl w:val="0"/>
        </w:rPr>
        <w:t xml:space="preserve">,</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790" w:right="0"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single"/>
          <w:shd w:fill="auto" w:val="clear"/>
          <w:vertAlign w:val="baseline"/>
          <w:rtl w:val="0"/>
        </w:rPr>
        <w:t xml:space="preserve">sia, infine, per posti di sostegno o per posti DOS, il punteggio è raddoppiato</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40" w:lineRule="auto"/>
        <w:ind w:left="790" w:right="115"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Per ogni anno di servizio prestato nei paesi in via di sviluppo il punteggio è raddoppiato.</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082"/>
        </w:tabs>
        <w:spacing w:after="0" w:before="1" w:line="232" w:lineRule="auto"/>
        <w:ind w:left="790" w:right="115"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058"/>
        </w:tabs>
        <w:spacing w:after="0" w:before="0" w:line="237" w:lineRule="auto"/>
        <w:ind w:left="790" w:right="243"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La dizione “piccole isole” è comprensiva di tutte le isole del territorio italiano, ad eccezione, ovviamente, delle due isole maggiori (Sicilia e Sardegna).</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79" w:lineRule="auto"/>
        <w:ind w:left="79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punteggio aggiuntivo previsto per il servizio prestato nelle piccole isole è attribuito indipendentemente dal luogo di residenza</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 w:lineRule="auto"/>
        <w:ind w:left="79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dell’interessato.</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091"/>
        </w:tabs>
        <w:spacing w:after="0" w:before="0" w:line="230" w:lineRule="auto"/>
        <w:ind w:left="790" w:right="122"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Va valutata nella misura prevista dalla presente voce, l'anzianità derivante da decorrenza giuridica della nomina anteriore alla decorrenza economica, se non è stato prestato alcun servizio o se il servizio non è stato prestato nel ruolo di appartenenza.</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30" w:lineRule="auto"/>
        <w:ind w:left="790" w:right="93"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 merito alla valutazione di un precedente servizio di ruolo, prestato in un ruolo diverso, si precisa che gli anni di servizio di ruolo prestati nella scuola dell’infanzia si valutano per intero, ai sensi della presente voce, nella scuola primaria (e viceversa), mentre si sommano al pre-ruolo e si valutano come pre-ruolo, analogamente al ruolo della scuola primaria, nella scuola secondaria sia di primo che di secondo grado.</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2" w:lineRule="auto"/>
        <w:ind w:left="79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Gli anni di un precedente servizio di ruolo prestato nella scuola secondaria di primo grado si valutano per intero, sempre ai sensi della presente voce, nella scuola secondaria di secondo grado (e viceversa), mentre si sommano agli anni di pre-ruolo e si valutano come pre- ruolo se attualmente si è titolari nella scuola primaria o nella scuola dell’infanzia.</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790" w:right="114"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Nella misura della presente voce è valutato anche il servizio pre-ruolo prestato per almeno 180 giorni o ininterrottamente dal 1 febbraio fino al termine delle operazioni di scrutinio finale o, in quanto riconoscibile, per la scuola materna, fino al termine delle attività educative, nei limiti previsti dagli artt. 485, 490 del D.L.vo n. 297/94 ai fini della valutabilità per la carriera, nonché il servizio prestato</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790" w:right="93"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 altro ruolo riconosciuto o riconoscibile ai fini della carriera ai sensi del D.L. 19/6/70 n. 370, convertito con modificazioni nella legge 26/7/70 n. 576 e successive integrazioni, ovvero il servizio pre-ruolo prestato senza il prescritto titolo di specializzazione in scuole speciali o su posti di sostegno.</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790" w:right="111"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sectPr>
          <w:type w:val="nextPage"/>
          <w:pgSz w:h="16860" w:w="11940" w:orient="portrait"/>
          <w:pgMar w:bottom="280" w:top="640" w:left="520" w:right="600" w:header="286" w:footer="0"/>
        </w:sect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 w:line="240" w:lineRule="auto"/>
        <w:ind w:left="790" w:right="117"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Relativamente agli insegnanti di scuole primarie, per ogni anno di insegnamento in scuola unica di cui al R.D. 5/2/1928, n. 577, o in scuola di montagna ai sensi della legge 1/3/1957, n. 90, il punteggio è raddoppiato. Per l'attribuzione del punteggio si prescinde dal requisito della residenza in sede.</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0" w:right="115"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790" w:right="122"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Nella stessa misura va valutato, altresì, il servizio del personale educativo transitato nel ruolo degli insegnanti della scuola primaria e viceversa.</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072"/>
        </w:tabs>
        <w:spacing w:after="0" w:before="1" w:line="240" w:lineRule="auto"/>
        <w:ind w:left="790" w:right="111"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La continuità del servizio prestato ininterrottamente da almeno un triennio nella scuola di attuale titolarità ovvero nella scuola di servizio per il personale titolare di Dotazione Organica di Sostegno (DOS) nella scuola secondaria di II grado (lettera C, del titolo I della tabella di valutazione dei trasferimenti) deve essere attestata dall'interessato con apposita dichiarazione personale conforme all’apposito modello allegato all’O.M. sulla mobilità del personale o a quello predisposto per le istanze on line. Il primo anno del triennio per l’attribuzione del punteggio per la continuità al personale DOS decorre a partire dall’anno scolastico 2003/2004. Il primo anno del triennio per l’attribuzione del punteggio per la continuità ai docenti di religione cattolica decorre a partire dall’a.s. 2009/2010. L’introduzione nell’a.s. 1998/99 dell’organico di circolo, per la scuola primaria, e nell’a.s.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Il trasferimento ottenuto precedentemente all’introduzione dell’organico tra plessi dello stesso circolo interrompe la continuità di servizio.</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30" w:lineRule="auto"/>
        <w:ind w:left="790" w:right="111"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Per la scuola primaria, il trasferimento tra i posti dell’organico (comune e lingua) nello stesso circolo non interrompe la continuità di servizio.</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0" w:right="171"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pre-ruolo sia del periodo coperto da decorrenza giuridica retroattiva della nomina) e la prestazione del servizio presso la scuola o plesso di titolarità. Per i docenti titolari di posti per l'istruzione e la formazione dell’età adulta attivati presso i Centri Territoriali ai fini dell'assegnazione del punteggio per la continuità del servizio, va fatto riferimento alla titolarità del posto per l’istruzione e la formazione dell’età adulta a suo tempo individuati a livello di distretto. Per i docenti titolari in istituti in cui sono presenti corsi serali e, analogamente, per i docenti titolari in corsi serali la continuità didattica è riferita esclusivamente al servizio prestato sullo stesso tipo organico di titolarità (o diurno o serale). Da tale ultimo requisito si prescinde limitatamente al solo personale beneficiario della precedenza di cui all’art. 7, titolo I, punto II), - Personale trasferito d’ufficio nell’ultimo ottennio del presente contratto.</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0" w:right="109"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D.L.vo n. 151/01, per servizio militare di leva o per il sostitutivo servizio civile, per mandato politico ed amministrativo, nel caso di utilizzazioni (ivi compresa quella nei licei musicali), di esoneri dal servizio previsti dalla legge per i componenti del Consiglio Nazionale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32" w:lineRule="auto"/>
        <w:ind w:left="79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306, per il servizio prestato nelle scuole militari.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D.L.vo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richieda in ciascun anno dell’ottennio successivo anche il trasferimento nell'istituto di precedente titolarità ovvero nel comune. La continuità di servizio maturata nella scuola o nell'istituto di precedente titolarità viene valutata anche al personale docente beneficiario del predetto art. 7, punto II) del presente contratto - alle condizioni ivi previste - che, a seguito del trasferimento d'ufficio, sia attualmente titolare su posti DOP.</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79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Si precisa che il punteggio in questione viene riconosciuto anche per la formulazione della graduatoria interna di istituto ai fini dell’individuazione del soprannumerario da trasferire d’ufficio.</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790" w:right="171"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La continuità didattica, legata alla scuola di ex-titolarità, del personale scolastico trasferito d’ufficio nell’ultimo ottennio va considerata ai fini della sola domanda di trasferimento e non anche della domanda di passaggio.</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0" w:right="11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0" w:right="112"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sectPr>
          <w:type w:val="nextPage"/>
          <w:pgSz w:h="16860" w:w="11940" w:orient="portrait"/>
          <w:pgMar w:bottom="280" w:top="640" w:left="520" w:right="600" w:header="286" w:footer="0"/>
        </w:sect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attua la sperimentazione a norma dell'art. 278 del D.L.vo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nuove figure professionali di cui all'art. 5 del D.L. 6.8.1988, n. 323 convertito con modificazioni nella legge 6.10.1988, n. 426. Il punteggio in questione spetta anche ai docenti appartenenti a posto o classe di concorso in esubero utilizzati a domanda o d'ufficio ai sensi dell'art. 1</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30" w:lineRule="auto"/>
        <w:ind w:left="793" w:right="115"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del D.L.vo n. 35/93, in ruolo o classe di concorso diversi da quelli di titolarità. In ogni caso non deve essere considerata interruzione della continuità del servizio nella scuola di titolarità la mancata prestazione del servizio per un periodo di durata complessiva inferiore a</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793" w:right="114"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793" w:right="112"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punteggio va attribuito se la scuola di titolarità giuridica e la scuola in cui l'interessato ha prestato servizio continuativo coincidono per il periodo considerato.</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793" w:right="111"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0" w:lineRule="auto"/>
        <w:ind w:left="793"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215/95, nella sola ipotesi che non sia cambiato l’istituto di titolarità.</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3"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Non va valutato l'anno scolastico in corso al momento della presentazione della domanda.</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7" w:before="0" w:line="230" w:lineRule="auto"/>
        <w:ind w:left="793" w:right="114"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(5 bis) Ai fini della formazione della graduatoria per l’individuazione del soprannumerario ed ai fini del trasferimento d’ufficio, fermo restando quanto precisato nella nota 5, la continuità didattica nella scuola di attuale titolarità viene così valutata:</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inline distB="0" distT="0" distL="114300" distR="114300">
                <wp:extent cx="5323205" cy="809625"/>
                <wp:effectExtent b="0" l="0" r="0" t="0"/>
                <wp:docPr id="5" name=""/>
                <a:graphic>
                  <a:graphicData uri="http://schemas.microsoft.com/office/word/2010/wordprocessingGroup">
                    <wpg:wgp>
                      <wpg:cNvGrpSpPr/>
                      <wpg:grpSpPr>
                        <a:xfrm>
                          <a:off x="2684275" y="3375050"/>
                          <a:ext cx="5323205" cy="809625"/>
                          <a:chOff x="2684275" y="3375050"/>
                          <a:chExt cx="5323325" cy="809775"/>
                        </a:xfrm>
                      </wpg:grpSpPr>
                      <wpg:grpSp>
                        <wpg:cNvGrpSpPr/>
                        <wpg:grpSpPr>
                          <a:xfrm>
                            <a:off x="2684398" y="3375188"/>
                            <a:ext cx="5323200" cy="809625"/>
                            <a:chOff x="0" y="0"/>
                            <a:chExt cx="5323200" cy="809625"/>
                          </a:xfrm>
                        </wpg:grpSpPr>
                        <wps:wsp>
                          <wps:cNvSpPr/>
                          <wps:cNvPr id="3" name="Shape 3"/>
                          <wps:spPr>
                            <a:xfrm>
                              <a:off x="0" y="0"/>
                              <a:ext cx="5323200" cy="809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4416425" y="5080"/>
                              <a:ext cx="901065" cy="798830"/>
                            </a:xfrm>
                            <a:custGeom>
                              <a:rect b="b" l="l" r="r" t="t"/>
                              <a:pathLst>
                                <a:path extrusionOk="0" h="798830" w="901065">
                                  <a:moveTo>
                                    <a:pt x="0" y="0"/>
                                  </a:moveTo>
                                  <a:lnTo>
                                    <a:pt x="0" y="798830"/>
                                  </a:lnTo>
                                  <a:lnTo>
                                    <a:pt x="901065" y="798830"/>
                                  </a:lnTo>
                                  <a:lnTo>
                                    <a:pt x="901065" y="0"/>
                                  </a:lnTo>
                                  <a:close/>
                                </a:path>
                              </a:pathLst>
                            </a:custGeom>
                            <a:noFill/>
                            <a:ln cap="flat" cmpd="sng" w="1040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p>
                              <w:p w:rsidR="00000000" w:rsidDel="00000000" w:rsidP="00000000" w:rsidRDefault="00000000" w:rsidRPr="00000000">
                                <w:pPr>
                                  <w:spacing w:after="0" w:before="172.99999237060547" w:line="240"/>
                                  <w:ind w:left="630" w:right="0" w:firstLine="63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Punti 2</w:t>
                                </w:r>
                              </w:p>
                              <w:p w:rsidR="00000000" w:rsidDel="00000000" w:rsidP="00000000" w:rsidRDefault="00000000" w:rsidRPr="00000000">
                                <w:pPr>
                                  <w:spacing w:after="0" w:before="11.000000238418579" w:line="240"/>
                                  <w:ind w:left="630" w:right="0" w:firstLine="63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Punti 3</w:t>
                                </w:r>
                              </w:p>
                            </w:txbxContent>
                          </wps:txbx>
                          <wps:bodyPr anchorCtr="0" anchor="t" bIns="38100" lIns="88900" spcFirstLastPara="1" rIns="88900" wrap="square" tIns="38100">
                            <a:noAutofit/>
                          </wps:bodyPr>
                        </wps:wsp>
                        <wps:wsp>
                          <wps:cNvSpPr/>
                          <wps:cNvPr id="16" name="Shape 16"/>
                          <wps:spPr>
                            <a:xfrm>
                              <a:off x="5080" y="5080"/>
                              <a:ext cx="4411345" cy="798830"/>
                            </a:xfrm>
                            <a:custGeom>
                              <a:rect b="b" l="l" r="r" t="t"/>
                              <a:pathLst>
                                <a:path extrusionOk="0" h="798830" w="4411345">
                                  <a:moveTo>
                                    <a:pt x="0" y="0"/>
                                  </a:moveTo>
                                  <a:lnTo>
                                    <a:pt x="0" y="798830"/>
                                  </a:lnTo>
                                  <a:lnTo>
                                    <a:pt x="4411345" y="798830"/>
                                  </a:lnTo>
                                  <a:lnTo>
                                    <a:pt x="4411345" y="0"/>
                                  </a:lnTo>
                                  <a:close/>
                                </a:path>
                              </a:pathLst>
                            </a:custGeom>
                            <a:noFill/>
                            <a:ln cap="flat" cmpd="sng" w="1040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0" w:line="230.00000953674316"/>
                                  <w:ind w:left="630.9999847412109" w:right="-15" w:firstLine="630.9999847412109"/>
                                  <w:jc w:val="both"/>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C) Per ogni anno di servizio di ruolo prestato nella scuola di attuale titolarità senza soluzione di continuità in aggiunta a quello previsto dalle lettere A), A1), B), B1), B2), B3)</w:t>
                                </w:r>
                              </w:p>
                              <w:p w:rsidR="00000000" w:rsidDel="00000000" w:rsidP="00000000" w:rsidRDefault="00000000" w:rsidRPr="00000000">
                                <w:pPr>
                                  <w:spacing w:after="0" w:before="0" w:line="200.9999942779541"/>
                                  <w:ind w:left="630.9999847412109" w:right="0" w:firstLine="630.9999847412109"/>
                                  <w:jc w:val="both"/>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 entro il quinquennio.................................................................……………</w:t>
                                </w:r>
                              </w:p>
                              <w:p w:rsidR="00000000" w:rsidDel="00000000" w:rsidP="00000000" w:rsidRDefault="00000000" w:rsidRPr="00000000">
                                <w:pPr>
                                  <w:spacing w:after="0" w:before="0" w:line="207.00000286102295"/>
                                  <w:ind w:left="630.9999847412109" w:right="0" w:firstLine="630.9999847412109"/>
                                  <w:jc w:val="both"/>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 oltre il quinquennio ……………………………………………………....</w:t>
                                </w:r>
                              </w:p>
                            </w:txbxContent>
                          </wps:txbx>
                          <wps:bodyPr anchorCtr="0" anchor="t" bIns="38100" lIns="88900" spcFirstLastPara="1" rIns="88900" wrap="square" tIns="38100">
                            <a:noAutofit/>
                          </wps:bodyPr>
                        </wps:wsp>
                      </wpg:grpSp>
                    </wpg:wgp>
                  </a:graphicData>
                </a:graphic>
              </wp:inline>
            </w:drawing>
          </mc:Choice>
          <mc:Fallback>
            <w:drawing>
              <wp:inline distB="0" distT="0" distL="114300" distR="114300">
                <wp:extent cx="5323205" cy="809625"/>
                <wp:effectExtent b="0" l="0" r="0" t="0"/>
                <wp:docPr id="5" name="image5.png"/>
                <a:graphic>
                  <a:graphicData uri="http://schemas.openxmlformats.org/drawingml/2006/picture">
                    <pic:pic>
                      <pic:nvPicPr>
                        <pic:cNvPr id="0" name="image5.png"/>
                        <pic:cNvPicPr preferRelativeResize="0"/>
                      </pic:nvPicPr>
                      <pic:blipFill>
                        <a:blip r:embed="rId15"/>
                        <a:srcRect/>
                        <a:stretch>
                          <a:fillRect/>
                        </a:stretch>
                      </pic:blipFill>
                      <pic:spPr>
                        <a:xfrm>
                          <a:off x="0" y="0"/>
                          <a:ext cx="5323205" cy="8096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30" w:lineRule="auto"/>
        <w:ind w:left="793"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Sempre ai fini della formazione della graduatoria per l’individuazione del soprannumerario ed ai fini del trasferimento d’ufficio, viene valutata anche la continuità di servizio nella sede di attuale titolarità, nella seguente misura:</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609600</wp:posOffset>
                </wp:positionH>
                <wp:positionV relativeFrom="paragraph">
                  <wp:posOffset>127000</wp:posOffset>
                </wp:positionV>
                <wp:extent cx="5323205" cy="545465"/>
                <wp:effectExtent b="0" l="0" r="0" t="0"/>
                <wp:wrapTopAndBottom distB="0" distT="0"/>
                <wp:docPr id="2" name=""/>
                <a:graphic>
                  <a:graphicData uri="http://schemas.microsoft.com/office/word/2010/wordprocessingGroup">
                    <wpg:wgp>
                      <wpg:cNvGrpSpPr/>
                      <wpg:grpSpPr>
                        <a:xfrm>
                          <a:off x="3014475" y="3506500"/>
                          <a:ext cx="5323205" cy="545465"/>
                          <a:chOff x="3014475" y="3506500"/>
                          <a:chExt cx="5323325" cy="553100"/>
                        </a:xfrm>
                      </wpg:grpSpPr>
                      <wpg:grpSp>
                        <wpg:cNvGrpSpPr/>
                        <wpg:grpSpPr>
                          <a:xfrm>
                            <a:off x="3014599" y="3507268"/>
                            <a:ext cx="5323200" cy="545450"/>
                            <a:chOff x="0" y="0"/>
                            <a:chExt cx="5323200" cy="545450"/>
                          </a:xfrm>
                        </wpg:grpSpPr>
                        <wps:wsp>
                          <wps:cNvSpPr/>
                          <wps:cNvPr id="3" name="Shape 3"/>
                          <wps:spPr>
                            <a:xfrm>
                              <a:off x="0" y="0"/>
                              <a:ext cx="5323200" cy="5454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4416425" y="4445"/>
                              <a:ext cx="901065" cy="534670"/>
                            </a:xfrm>
                            <a:custGeom>
                              <a:rect b="b" l="l" r="r" t="t"/>
                              <a:pathLst>
                                <a:path extrusionOk="0" h="534670" w="901065">
                                  <a:moveTo>
                                    <a:pt x="0" y="0"/>
                                  </a:moveTo>
                                  <a:lnTo>
                                    <a:pt x="0" y="534670"/>
                                  </a:lnTo>
                                  <a:lnTo>
                                    <a:pt x="901065" y="534670"/>
                                  </a:lnTo>
                                  <a:lnTo>
                                    <a:pt x="901065" y="0"/>
                                  </a:lnTo>
                                  <a:close/>
                                </a:path>
                              </a:pathLst>
                            </a:custGeom>
                            <a:noFill/>
                            <a:ln cap="flat" cmpd="sng" w="1040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171.00000381469727" w:line="240"/>
                                  <w:ind w:left="635" w:right="0" w:firstLine="635"/>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Punti 1</w:t>
                                </w:r>
                              </w:p>
                            </w:txbxContent>
                          </wps:txbx>
                          <wps:bodyPr anchorCtr="0" anchor="t" bIns="38100" lIns="88900" spcFirstLastPara="1" rIns="88900" wrap="square" tIns="38100">
                            <a:noAutofit/>
                          </wps:bodyPr>
                        </wps:wsp>
                        <wps:wsp>
                          <wps:cNvSpPr/>
                          <wps:cNvPr id="11" name="Shape 11"/>
                          <wps:spPr>
                            <a:xfrm>
                              <a:off x="5080" y="4445"/>
                              <a:ext cx="4411345" cy="534670"/>
                            </a:xfrm>
                            <a:custGeom>
                              <a:rect b="b" l="l" r="r" t="t"/>
                              <a:pathLst>
                                <a:path extrusionOk="0" h="534670" w="4411345">
                                  <a:moveTo>
                                    <a:pt x="0" y="0"/>
                                  </a:moveTo>
                                  <a:lnTo>
                                    <a:pt x="0" y="534670"/>
                                  </a:lnTo>
                                  <a:lnTo>
                                    <a:pt x="4411345" y="534670"/>
                                  </a:lnTo>
                                  <a:lnTo>
                                    <a:pt x="4411345" y="0"/>
                                  </a:lnTo>
                                  <a:close/>
                                </a:path>
                              </a:pathLst>
                            </a:custGeom>
                            <a:noFill/>
                            <a:ln cap="flat" cmpd="sng" w="1040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0000000298023224" w:line="231.99999332427979"/>
                                  <w:ind w:left="630.9999847412109" w:right="55" w:firstLine="630.9999847412109"/>
                                  <w:jc w:val="both"/>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C 0) Per ogni anno di servizio di ruolo prestato nella sede di attuale titolarità senza soluzione di continuità in aggiunta a quello previsto dalle lettere A), A1), B), B1), B2), B3) ………………………………………………………..</w:t>
                                </w:r>
                              </w:p>
                            </w:txbxContent>
                          </wps:txbx>
                          <wps:bodyPr anchorCtr="0" anchor="t" bIns="38100" lIns="88900" spcFirstLastPara="1" rIns="88900" wrap="square" tIns="381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609600</wp:posOffset>
                </wp:positionH>
                <wp:positionV relativeFrom="paragraph">
                  <wp:posOffset>127000</wp:posOffset>
                </wp:positionV>
                <wp:extent cx="5323205" cy="545465"/>
                <wp:effectExtent b="0" l="0" r="0" t="0"/>
                <wp:wrapTopAndBottom distB="0" distT="0"/>
                <wp:docPr id="2" name="image2.png"/>
                <a:graphic>
                  <a:graphicData uri="http://schemas.openxmlformats.org/drawingml/2006/picture">
                    <pic:pic>
                      <pic:nvPicPr>
                        <pic:cNvPr id="0" name="image2.png"/>
                        <pic:cNvPicPr preferRelativeResize="0"/>
                      </pic:nvPicPr>
                      <pic:blipFill>
                        <a:blip r:embed="rId16"/>
                        <a:srcRect/>
                        <a:stretch>
                          <a:fillRect/>
                        </a:stretch>
                      </pic:blipFill>
                      <pic:spPr>
                        <a:xfrm>
                          <a:off x="0" y="0"/>
                          <a:ext cx="5323205" cy="545465"/>
                        </a:xfrm>
                        <a:prstGeom prst="rect"/>
                        <a:ln/>
                      </pic:spPr>
                    </pic:pic>
                  </a:graphicData>
                </a:graphic>
              </wp:anchor>
            </w:drawing>
          </mc:Fallback>
        </mc:AlternateConten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52" w:lineRule="auto"/>
        <w:ind w:left="793"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predetto punteggio va attribuito se la sede di titolarità giuridica e la sede in cui l'interessato ha prestato servizio continuativo coincidono</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30" w:lineRule="auto"/>
        <w:ind w:left="793" w:right="114"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per il periodo considerato. Per sede si intende comune. Il punteggio va anche attribuito nel caso di diritto al rientro nell’ottennio del personale trasferito in quanto soprannumerario.</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30" w:lineRule="auto"/>
        <w:ind w:left="793" w:right="158"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793" w:right="168"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Per i docenti il servizio deve essere stato prestato nella stessa tipologia di posto (comune o sostegno) e per la scuola di istruzione secondaria di primo e secondo grado e artistica, il servizio deve essere altresì prestato nella stessa classe di concorso di attuale titolarità. Il trasferimento dal sostegno a posto comune o viceversa interrompe la continuità di servizio nella scuola e nel comune.</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3" w:lineRule="auto"/>
        <w:ind w:left="793"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punteggio non va attribuito ai docenti titolari di sede distrettuale (su posto per l’istruzione dell’età adulta).</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 w:lineRule="auto"/>
        <w:ind w:left="793" w:right="123"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Qualora il docente al termine dell’ottennio non sia rientrato nella scuola di precedente titolarità ma in altra scuola dello stesso comune, ha titolo al mantenimento del punteggio di cui alla lett. C 0) anche per tutti gli 8 anni dell’ottennio.</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0" w:lineRule="auto"/>
        <w:ind w:left="793"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Non va valutato l'anno scolastico in corso al momento di presentazione della domanda.</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3" w:lineRule="auto"/>
        <w:ind w:left="793"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punteggio di cui alla lettera C 0) non è cumulabile per lo stesso anno scolastico con quello previsto dalla lettera C).</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3" w:right="117"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(5 ter) Il diritto all’attribuzione del punteggio deve essere attestato con apposita dichiarazione personale, analoga al modello allegato all’O.M. sulla mobilità del personale o a quello predisposto per le istanze on line nella quale si elencano gli anni in cui non si è presentata la domanda di mobilità volontaria in ambito provinciale alle condizioni previste nelle Tabelle di cui sopra.</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11" w:lineRule="auto"/>
        <w:ind w:left="793"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Ai fini della maturazione una tantum del punteggio è utile un triennio compreso nel periodo intercorrente tra le domande di mobilità per l’anno scolastico 2000-2001 e quelle per l’anno scolastico 2007-2008.</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32" w:lineRule="auto"/>
        <w:ind w:left="793"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Con le domande di mobilità per l’anno scolastico 2007/2008 si è, infatti, concluso il periodo utile per l’acquisizione del punteggio aggiuntivo a seguito della maturazione del triennio.</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32" w:lineRule="auto"/>
        <w:ind w:left="793" w:right="108"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7" w:lineRule="auto"/>
        <w:ind w:left="793"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Tale punteggio viene, inoltre, riconosciuto anche a coloro che, nel suddetto periodo, hanno presentato in ambito provinciale:</w:t>
      </w:r>
    </w:p>
    <w:p w:rsidR="00000000" w:rsidDel="00000000" w:rsidP="00000000" w:rsidRDefault="00000000" w:rsidRPr="00000000" w14:paraId="0000010E">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24"/>
          <w:tab w:val="left" w:leader="none" w:pos="1125"/>
        </w:tabs>
        <w:spacing w:after="0" w:before="0" w:line="208" w:lineRule="auto"/>
        <w:ind w:left="1124" w:right="0" w:hanging="360.99999999999994"/>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domanda condizionata di trasferimento, in quanto individuati soprannumerari;</w:t>
      </w:r>
    </w:p>
    <w:p w:rsidR="00000000" w:rsidDel="00000000" w:rsidP="00000000" w:rsidRDefault="00000000" w:rsidRPr="00000000" w14:paraId="0000010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24"/>
          <w:tab w:val="left" w:leader="none" w:pos="1125"/>
        </w:tabs>
        <w:spacing w:after="0" w:before="0" w:line="217" w:lineRule="auto"/>
        <w:ind w:left="1124" w:right="0" w:hanging="360.99999999999994"/>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domanda di trasferimento per la scuola primaria tra i posti comune e lingua straniera nell’organico dello stesso circolo di titolarità;</w:t>
      </w:r>
    </w:p>
    <w:p w:rsidR="00000000" w:rsidDel="00000000" w:rsidP="00000000" w:rsidRDefault="00000000" w:rsidRPr="00000000" w14:paraId="0000011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24"/>
          <w:tab w:val="left" w:leader="none" w:pos="1125"/>
        </w:tabs>
        <w:spacing w:after="0" w:before="0" w:line="235" w:lineRule="auto"/>
        <w:ind w:left="1124" w:right="228" w:hanging="360.99999999999994"/>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domanda di rientro nella scuola di precedente titolarità, nel quinquennio di fruizione del diritto alla precedenza di cui ai punti II e IV dell’art. 7, comma 1 del CCNI.</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764" w:right="167"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Tale punteggio, una volta acquisito, si perde esclusivamente nel caso in cui si ottenga, a seguito di domanda volontaria in ambito provinciale, il trasferimento, il passaggio o l’assegnazione provvisoria.</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0" w:lineRule="auto"/>
        <w:ind w:left="793" w:right="163"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0" w:lineRule="auto"/>
        <w:ind w:left="793"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precedente titolarità, il trasferimento per altre preferenze espresse nella domanda o l’assegnazione provvisoria.</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793" w:right="166"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sectPr>
          <w:type w:val="nextPage"/>
          <w:pgSz w:h="16860" w:w="11940" w:orient="portrait"/>
          <w:pgMar w:bottom="280" w:top="640" w:left="520" w:right="600" w:header="286" w:footer="0"/>
        </w:sect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Analogamente non perde il riconoscimento del punteggio aggiuntivo il docente trasferito d’ufficio o a domanda condizionata che nel periodo di cui sopra non chiede il rientro nella scuola di precedente titolarità.</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30" w:lineRule="auto"/>
        <w:ind w:left="790" w:right="124"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 ogni caso la sola presentazione della domanda di mobilità, anche in ambito provinciale, non determina la perdita del punteggio aggiuntivo una volta che lo stesso è stato acquisito.</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046"/>
        </w:tabs>
        <w:spacing w:after="0" w:before="1" w:line="230" w:lineRule="auto"/>
        <w:ind w:left="790" w:right="114"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punteggio spetta per il comune di residenza dei familiari a condizione che essi, alla data di pubblicazione dell'ordinanza, vi risiedano effettivamente con iscrizione anagrafica da almeno tre mesi.</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0" w:right="111"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La residenza del familiare a cui si chiede il ricongiungimento deve essere documentata con dichiarazione personale redatta ai sensi delle disposizioni contenute nel D.P.R. 28.12.2000, n. 445, così come modificato ed integrato dall’art. 15 della legge 16 gennaio 2003</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790" w:right="11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n. 3 e dall’art. 15 comma 1 della L. 183/2011 nei quali dovrà essere indicata la decorrenza dell'iscrizione stessa; dall'iscrizione anagrafica si prescinde quando si tratti di ricongiungimento al familiare trasferito per servizio nei tre mesi antecedenti alla data di pubblicazione dell'ordinanza.</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790" w:right="11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viciniorietà, purché comprese fra le preferenze espresse; tale punteggio sarà attribuito anche nel caso in cui venga indicata dall'interessato una preferenza zonale (distretto e comune)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I punteggi per le esigenze di famiglia di cui alle lettere A), B), C), D) sono cumulabili fra loro.</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79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Le situazioni di cui al presente titolo non si valutano per i trasferimenti nell'ambito della stessa sede (per sede si intende “comune”).</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161"/>
        </w:tabs>
        <w:spacing w:after="0" w:before="0" w:line="230" w:lineRule="auto"/>
        <w:ind w:left="790" w:right="115"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Ai fini della formulazione della graduatoria per l’individuazione del soprannumerario, le esigenze di famiglia, da considerarsi in questo caso come esigenze di non allontanamento dalla scuola e dal comune di attuale titolarità, sono valutate nella seguente maniera:</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0" w:right="11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lettera A)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5" w:lineRule="auto"/>
        <w:ind w:left="79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lettera B) e lettera C) valgono sempre;</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32" w:lineRule="auto"/>
        <w:ind w:left="790" w:right="114"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lettera D) (cura e assistenza dei figli minorati, etc..) vale quando il comune in cui può essere prestata l’assistenza coincide con il comune di titolarità del docente oppure è ad esso viciniore, qualora nel comune medesimo non vi siano sedi scolastiche richiedibili.</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punteggio così calcolato viene utilizzato anche nelle operazioni di trasferimento d’ufficio del soprannumerario.</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060"/>
        </w:tabs>
        <w:spacing w:after="0" w:before="0" w:line="232" w:lineRule="auto"/>
        <w:ind w:left="790" w:right="168"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punteggio va attribuito anche per i figli che compiono i sei anni o i diciotto tra il 1° gennaio e il 31 dicembre dell’anno in cui si effettua il trasferimento.</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048"/>
        </w:tabs>
        <w:spacing w:after="0" w:before="0" w:line="240" w:lineRule="auto"/>
        <w:ind w:left="1047" w:right="0" w:hanging="258"/>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La valutazione è attribuita nei seguenti casi:</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76"/>
        </w:tabs>
        <w:spacing w:after="0" w:before="0" w:line="240" w:lineRule="auto"/>
        <w:ind w:left="975" w:right="0" w:hanging="185.99999999999994"/>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figlio minorato, ovvero coniuge o genitore, ricoverati permanentemente in un istituto di cura;</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98"/>
        </w:tabs>
        <w:spacing w:after="0" w:before="1" w:line="230" w:lineRule="auto"/>
        <w:ind w:left="790" w:right="125"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figlio minorato, ovvero coniuge o genitore bisognosi di cure continuative presso un istituto di cura tali da comportare di necessità la residenza nella sede dello istituto medesimo.</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017"/>
        </w:tabs>
        <w:spacing w:after="0" w:before="0" w:line="240" w:lineRule="auto"/>
        <w:ind w:left="790" w:right="112"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79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D.P.R. n. 309/1990.</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137"/>
        </w:tabs>
        <w:spacing w:after="0" w:before="0" w:line="240" w:lineRule="auto"/>
        <w:ind w:left="1136" w:right="0" w:hanging="347"/>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Si precisa che ai sensi della lettera B) si valuta un solo pubblico concorso.</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0" w:right="11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concorsi ordinari a posti di personale educativo sono da considerare di livello pari ai concorsi della scuola primaria.</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790" w:right="115"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concorsi a posti di personale ispettivo e dirigente scolastico sono da considerare di livello superiore rispetto ai concorsi a posti di insegnamento.</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790" w:right="112"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790" w:right="112"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sectPr>
          <w:type w:val="nextPage"/>
          <w:pgSz w:h="16860" w:w="11940" w:orient="portrait"/>
          <w:pgMar w:bottom="280" w:top="640" w:left="520" w:right="600" w:header="286" w:footer="0"/>
        </w:sect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Sono ovviamente esclusi i concorsi riservati per il conseguimento dell’abilitazione o dell’idoneità all’insegnamento e la partecipazione a concorsi ordinari ai soli fini del conseguimento dell’abilitazione.</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30" w:lineRule="auto"/>
        <w:ind w:left="790" w:right="163"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Ai sensi dell’art. 5 del D.M. 5 maggio 1973, sono esclusi coloro che hanno conseguito la sola abilitazione riportando un punteggio inferiore a 52,50/75 nei concorsi ordinari per l’accesso a posti e cattedre nella scuola banditi antecedentemente alla legge 270/82.</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30" w:lineRule="auto"/>
        <w:ind w:left="790" w:right="166"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Tale punteggio spetta anche per l’accesso a tutte le classi di concorso appartenenti allo stesso ambito disciplinare per il quale si è conseguita l’idoneità in un concorso ordinario per esami e titoli bandito in attuazione della legge 124/1999.</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149"/>
        </w:tabs>
        <w:spacing w:after="0" w:before="1" w:line="235" w:lineRule="auto"/>
        <w:ind w:left="790" w:right="183"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0" w:right="116"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790" w:right="114"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(11 bis)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790" w:right="118"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 w:lineRule="auto"/>
        <w:ind w:left="79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Detti titoli non possono essere, infatti, considerati titoli generali aggiuntivi in quanto validi sia per l’accesso ai ruoli sia per il passaggio.</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161"/>
        </w:tabs>
        <w:spacing w:after="0" w:before="1" w:line="230" w:lineRule="auto"/>
        <w:ind w:left="790" w:right="115"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32" w:lineRule="auto"/>
        <w:ind w:left="79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La laurea triennale o di I livello che consente l’accesso alla laurea specialistica o magistrale non dà diritto ad avvalersi di ulteriore punteggio rispetto a queste ultime.</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790" w:right="171"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824" w:right="93"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diploma di laurea in scienze della formazione primaria non si valuta in quanto è un titolo richiesto per l’accesso al ruolo di appartenenza. Pertanto alla laurea in scienze della formazione primaria con indirizzo-infanzia,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formazione primaria con indirizzo-primaria, titolo non utile ai fini dell’accesso al ruolo della scuola dell’infanzia, verrà riconosciuto il punteggio di n. 5 punti in quanto titolo aggiuntivo a quello necessario per l’accesso al ruolo di appartenenza.</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diploma di laurea in Didattica della musica non si valuta:</w:t>
      </w:r>
    </w:p>
    <w:p w:rsidR="00000000" w:rsidDel="00000000" w:rsidP="00000000" w:rsidRDefault="00000000" w:rsidRPr="00000000" w14:paraId="0000014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97"/>
        </w:tabs>
        <w:spacing w:after="0" w:before="2" w:line="240" w:lineRule="auto"/>
        <w:ind w:left="896" w:right="0" w:hanging="107.00000000000003"/>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ai docenti titolari delle classi di concorso A031 e A032 in quanto titolo richiesto per l’accesso al ruolo di appartenenza;</w:t>
      </w:r>
    </w:p>
    <w:p w:rsidR="00000000" w:rsidDel="00000000" w:rsidP="00000000" w:rsidRDefault="00000000" w:rsidRPr="00000000" w14:paraId="0000015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14"/>
        </w:tabs>
        <w:spacing w:after="0" w:before="7" w:line="232" w:lineRule="auto"/>
        <w:ind w:left="790" w:right="166"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ai docenti titolari della classe di concorso A077 qualora riconosciuto come titolo valido ope legis ai fini dell’accesso a tale classe di concorso (art. 1, comma 2 bis L. n. 333/2001; art. 2, comma 4 bis L. n. 143/2004; art. 1, comma 605 L. n. 296/2006).</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139"/>
        </w:tabs>
        <w:spacing w:after="0" w:before="1" w:line="240" w:lineRule="auto"/>
        <w:ind w:left="1138" w:right="0" w:hanging="348.9999999999999"/>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punteggio può essere attribuito anche al personale diplomato.</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175"/>
        </w:tabs>
        <w:spacing w:after="0" w:before="0" w:line="232" w:lineRule="auto"/>
        <w:ind w:left="790" w:right="177"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 corsi tenuti a decorrere dall’anno accademico 2005/06 saranno valutati esclusivamente se di durata annuale, con 1500 ore complessive di impegno, con un riconoscimento di 60 CFU e con esame finale.</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171"/>
        </w:tabs>
        <w:spacing w:after="0" w:before="1" w:line="207" w:lineRule="auto"/>
        <w:ind w:left="1170" w:right="0" w:hanging="380.99999999999994"/>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Limitatamente alla mobilità nell’ambito dell’insegnamento della religione cattolica sono considerati validi i titoli previsti dal</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7" w:lineRule="auto"/>
        <w:ind w:left="79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D.P.R. 751/85 e specificati dal DM 15.7.87 e successive modificazioni ed integrazioni.</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139"/>
        </w:tabs>
        <w:spacing w:after="0" w:before="0" w:line="240" w:lineRule="auto"/>
        <w:ind w:left="1138" w:right="0" w:hanging="348.9999999999999"/>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Il punteggio viene attribuito per il conseguimento di un solo titolo linguistico.</w:t>
      </w:r>
    </w:p>
    <w:sectPr>
      <w:type w:val="nextPage"/>
      <w:pgSz w:h="16860" w:w="11940" w:orient="portrait"/>
      <w:pgMar w:bottom="280" w:top="640" w:left="520" w:right="600" w:header="286"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alibri"/>
  <w:font w:name="Arial"/>
  <w:font w:name="Noto Sans Symbols">
    <w:embedRegular w:fontKey="{00000000-0000-0000-0000-000000000000}" r:id="rId1" w:subsetted="0"/>
    <w:embedBold w:fontKey="{00000000-0000-0000-0000-000000000000}" r:id="rId2" w:subsetted="0"/>
  </w:font>
  <w:font w:name="Arial M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Pr>
      <mc:AlternateContent>
        <mc:Choice Requires="wpg">
          <w:drawing>
            <wp:anchor allowOverlap="1" behindDoc="1" distB="0" distT="0" distL="114300" distR="114300" hidden="0" layoutInCell="1" locked="0" relativeHeight="0" simplePos="0">
              <wp:simplePos x="0" y="0"/>
              <wp:positionH relativeFrom="page">
                <wp:posOffset>1087438</wp:posOffset>
              </wp:positionH>
              <wp:positionV relativeFrom="page">
                <wp:posOffset>164148</wp:posOffset>
              </wp:positionV>
              <wp:extent cx="5299710" cy="175260"/>
              <wp:effectExtent b="0" l="0" r="0" t="0"/>
              <wp:wrapNone/>
              <wp:docPr id="4" name=""/>
              <a:graphic>
                <a:graphicData uri="http://schemas.microsoft.com/office/word/2010/wordprocessingShape">
                  <wps:wsp>
                    <wps:cNvSpPr/>
                    <wps:cNvPr id="13" name="Shape 13"/>
                    <wps:spPr>
                      <a:xfrm>
                        <a:off x="2700908" y="3697133"/>
                        <a:ext cx="5290185" cy="165735"/>
                      </a:xfrm>
                      <a:custGeom>
                        <a:rect b="b" l="l" r="r" t="t"/>
                        <a:pathLst>
                          <a:path extrusionOk="0" h="165735" w="5290185">
                            <a:moveTo>
                              <a:pt x="0" y="0"/>
                            </a:moveTo>
                            <a:lnTo>
                              <a:pt x="0" y="165735"/>
                            </a:lnTo>
                            <a:lnTo>
                              <a:pt x="5290185" y="165735"/>
                            </a:lnTo>
                            <a:lnTo>
                              <a:pt x="5290185" y="0"/>
                            </a:lnTo>
                            <a:close/>
                          </a:path>
                        </a:pathLst>
                      </a:custGeom>
                      <a:noFill/>
                      <a:ln>
                        <a:noFill/>
                      </a:ln>
                    </wps:spPr>
                    <wps:txbx>
                      <w:txbxContent>
                        <w:p w:rsidR="00000000" w:rsidDel="00000000" w:rsidP="00000000" w:rsidRDefault="00000000" w:rsidRPr="00000000">
                          <w:pPr>
                            <w:spacing w:after="0" w:before="10" w:line="240"/>
                            <w:ind w:left="20" w:right="0" w:firstLine="20"/>
                            <w:jc w:val="left"/>
                            <w:textDirection w:val="btLr"/>
                          </w:pPr>
                          <w:r w:rsidDel="00000000" w:rsidR="00000000" w:rsidRPr="00000000">
                            <w:rPr>
                              <w:rFonts w:ascii="Times New Roman" w:cs="Times New Roman" w:eastAsia="Times New Roman" w:hAnsi="Times New Roman"/>
                              <w:b w:val="1"/>
                              <w:i w:val="1"/>
                              <w:smallCaps w:val="0"/>
                              <w:strike w:val="0"/>
                              <w:color w:val="000000"/>
                              <w:sz w:val="20"/>
                              <w:vertAlign w:val="baseline"/>
                            </w:rPr>
                            <w:t xml:space="preserve">SCHEDA PER L'INDIVIDUAZIONE DEI DOCENTI SOPRANNUMERARI PER L’A.S. 2024/2025</w:t>
                          </w:r>
                        </w:p>
                      </w:txbxContent>
                    </wps:txbx>
                    <wps:bodyPr anchorCtr="0" anchor="t" bIns="38100" lIns="88900" spcFirstLastPara="1" rIns="88900" wrap="square" tIns="38100">
                      <a:noAutofit/>
                    </wps:bodyPr>
                  </wps:wsp>
                </a:graphicData>
              </a:graphic>
            </wp:anchor>
          </w:drawing>
        </mc:Choice>
        <mc:Fallback>
          <w:drawing>
            <wp:anchor allowOverlap="1" behindDoc="1" distB="0" distT="0" distL="114300" distR="114300" hidden="0" layoutInCell="1" locked="0" relativeHeight="0" simplePos="0">
              <wp:simplePos x="0" y="0"/>
              <wp:positionH relativeFrom="page">
                <wp:posOffset>1087438</wp:posOffset>
              </wp:positionH>
              <wp:positionV relativeFrom="page">
                <wp:posOffset>164148</wp:posOffset>
              </wp:positionV>
              <wp:extent cx="5299710" cy="175260"/>
              <wp:effectExtent b="0" l="0" r="0" t="0"/>
              <wp:wrapNone/>
              <wp:docPr id="4"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5299710" cy="175260"/>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0"/>
      <w:numFmt w:val="bullet"/>
      <w:lvlText w:val="-"/>
      <w:lvlJc w:val="left"/>
      <w:pPr>
        <w:ind w:left="790" w:hanging="106"/>
      </w:pPr>
      <w:rPr>
        <w:rFonts w:ascii="Times New Roman" w:cs="Times New Roman" w:eastAsia="Times New Roman" w:hAnsi="Times New Roman"/>
        <w:sz w:val="18"/>
        <w:szCs w:val="18"/>
      </w:rPr>
    </w:lvl>
    <w:lvl w:ilvl="1">
      <w:start w:val="0"/>
      <w:numFmt w:val="bullet"/>
      <w:lvlText w:val="•"/>
      <w:lvlJc w:val="left"/>
      <w:pPr>
        <w:ind w:left="1802" w:hanging="106"/>
      </w:pPr>
      <w:rPr/>
    </w:lvl>
    <w:lvl w:ilvl="2">
      <w:start w:val="0"/>
      <w:numFmt w:val="bullet"/>
      <w:lvlText w:val="•"/>
      <w:lvlJc w:val="left"/>
      <w:pPr>
        <w:ind w:left="2804" w:hanging="106.00000000000045"/>
      </w:pPr>
      <w:rPr/>
    </w:lvl>
    <w:lvl w:ilvl="3">
      <w:start w:val="0"/>
      <w:numFmt w:val="bullet"/>
      <w:lvlText w:val="•"/>
      <w:lvlJc w:val="left"/>
      <w:pPr>
        <w:ind w:left="3806" w:hanging="106"/>
      </w:pPr>
      <w:rPr/>
    </w:lvl>
    <w:lvl w:ilvl="4">
      <w:start w:val="0"/>
      <w:numFmt w:val="bullet"/>
      <w:lvlText w:val="•"/>
      <w:lvlJc w:val="left"/>
      <w:pPr>
        <w:ind w:left="4808" w:hanging="106"/>
      </w:pPr>
      <w:rPr/>
    </w:lvl>
    <w:lvl w:ilvl="5">
      <w:start w:val="0"/>
      <w:numFmt w:val="bullet"/>
      <w:lvlText w:val="•"/>
      <w:lvlJc w:val="left"/>
      <w:pPr>
        <w:ind w:left="5810" w:hanging="106"/>
      </w:pPr>
      <w:rPr/>
    </w:lvl>
    <w:lvl w:ilvl="6">
      <w:start w:val="0"/>
      <w:numFmt w:val="bullet"/>
      <w:lvlText w:val="•"/>
      <w:lvlJc w:val="left"/>
      <w:pPr>
        <w:ind w:left="6812" w:hanging="106"/>
      </w:pPr>
      <w:rPr/>
    </w:lvl>
    <w:lvl w:ilvl="7">
      <w:start w:val="0"/>
      <w:numFmt w:val="bullet"/>
      <w:lvlText w:val="•"/>
      <w:lvlJc w:val="left"/>
      <w:pPr>
        <w:ind w:left="7814" w:hanging="106"/>
      </w:pPr>
      <w:rPr/>
    </w:lvl>
    <w:lvl w:ilvl="8">
      <w:start w:val="0"/>
      <w:numFmt w:val="bullet"/>
      <w:lvlText w:val="•"/>
      <w:lvlJc w:val="left"/>
      <w:pPr>
        <w:ind w:left="8816" w:hanging="106"/>
      </w:pPr>
      <w:rPr/>
    </w:lvl>
  </w:abstractNum>
  <w:abstractNum w:abstractNumId="2">
    <w:lvl w:ilvl="0">
      <w:start w:val="1"/>
      <w:numFmt w:val="upperRoman"/>
      <w:lvlText w:val="%1)"/>
      <w:lvlJc w:val="left"/>
      <w:pPr>
        <w:ind w:left="112" w:hanging="180"/>
      </w:pPr>
      <w:rPr>
        <w:rFonts w:ascii="Times New Roman" w:cs="Times New Roman" w:eastAsia="Times New Roman" w:hAnsi="Times New Roman"/>
        <w:sz w:val="16"/>
        <w:szCs w:val="16"/>
      </w:rPr>
    </w:lvl>
    <w:lvl w:ilvl="1">
      <w:start w:val="0"/>
      <w:numFmt w:val="bullet"/>
      <w:lvlText w:val="□"/>
      <w:lvlJc w:val="left"/>
      <w:pPr>
        <w:ind w:left="828" w:hanging="356.00000000000006"/>
      </w:pPr>
      <w:rPr>
        <w:rFonts w:ascii="Noto Sans Symbols" w:cs="Noto Sans Symbols" w:eastAsia="Noto Sans Symbols" w:hAnsi="Noto Sans Symbols"/>
        <w:sz w:val="16"/>
        <w:szCs w:val="16"/>
      </w:rPr>
    </w:lvl>
    <w:lvl w:ilvl="2">
      <w:start w:val="0"/>
      <w:numFmt w:val="bullet"/>
      <w:lvlText w:val="•"/>
      <w:lvlJc w:val="left"/>
      <w:pPr>
        <w:ind w:left="1587" w:hanging="356"/>
      </w:pPr>
      <w:rPr/>
    </w:lvl>
    <w:lvl w:ilvl="3">
      <w:start w:val="0"/>
      <w:numFmt w:val="bullet"/>
      <w:lvlText w:val="•"/>
      <w:lvlJc w:val="left"/>
      <w:pPr>
        <w:ind w:left="2354" w:hanging="356"/>
      </w:pPr>
      <w:rPr/>
    </w:lvl>
    <w:lvl w:ilvl="4">
      <w:start w:val="0"/>
      <w:numFmt w:val="bullet"/>
      <w:lvlText w:val="•"/>
      <w:lvlJc w:val="left"/>
      <w:pPr>
        <w:ind w:left="3122" w:hanging="356.00000000000045"/>
      </w:pPr>
      <w:rPr/>
    </w:lvl>
    <w:lvl w:ilvl="5">
      <w:start w:val="0"/>
      <w:numFmt w:val="bullet"/>
      <w:lvlText w:val="•"/>
      <w:lvlJc w:val="left"/>
      <w:pPr>
        <w:ind w:left="3889" w:hanging="356.00000000000045"/>
      </w:pPr>
      <w:rPr/>
    </w:lvl>
    <w:lvl w:ilvl="6">
      <w:start w:val="0"/>
      <w:numFmt w:val="bullet"/>
      <w:lvlText w:val="•"/>
      <w:lvlJc w:val="left"/>
      <w:pPr>
        <w:ind w:left="4656" w:hanging="356"/>
      </w:pPr>
      <w:rPr/>
    </w:lvl>
    <w:lvl w:ilvl="7">
      <w:start w:val="0"/>
      <w:numFmt w:val="bullet"/>
      <w:lvlText w:val="•"/>
      <w:lvlJc w:val="left"/>
      <w:pPr>
        <w:ind w:left="5424" w:hanging="356"/>
      </w:pPr>
      <w:rPr/>
    </w:lvl>
    <w:lvl w:ilvl="8">
      <w:start w:val="0"/>
      <w:numFmt w:val="bullet"/>
      <w:lvlText w:val="•"/>
      <w:lvlJc w:val="left"/>
      <w:pPr>
        <w:ind w:left="6191" w:hanging="356"/>
      </w:pPr>
      <w:rPr/>
    </w:lvl>
  </w:abstractNum>
  <w:abstractNum w:abstractNumId="3">
    <w:lvl w:ilvl="0">
      <w:start w:val="2"/>
      <w:numFmt w:val="upperRoman"/>
      <w:lvlText w:val="%1"/>
      <w:lvlJc w:val="left"/>
      <w:pPr>
        <w:ind w:left="411" w:hanging="188"/>
      </w:pPr>
      <w:rPr>
        <w:rFonts w:ascii="Times New Roman" w:cs="Times New Roman" w:eastAsia="Times New Roman" w:hAnsi="Times New Roman"/>
        <w:sz w:val="21"/>
        <w:szCs w:val="21"/>
      </w:rPr>
    </w:lvl>
    <w:lvl w:ilvl="1">
      <w:start w:val="1"/>
      <w:numFmt w:val="decimal"/>
      <w:lvlText w:val="(%2)"/>
      <w:lvlJc w:val="left"/>
      <w:pPr>
        <w:ind w:left="790" w:hanging="260"/>
      </w:pPr>
      <w:rPr>
        <w:rFonts w:ascii="Times New Roman" w:cs="Times New Roman" w:eastAsia="Times New Roman" w:hAnsi="Times New Roman"/>
        <w:sz w:val="18"/>
        <w:szCs w:val="18"/>
      </w:rPr>
    </w:lvl>
    <w:lvl w:ilvl="2">
      <w:start w:val="0"/>
      <w:numFmt w:val="bullet"/>
      <w:lvlText w:val="•"/>
      <w:lvlJc w:val="left"/>
      <w:pPr>
        <w:ind w:left="1913" w:hanging="260"/>
      </w:pPr>
      <w:rPr/>
    </w:lvl>
    <w:lvl w:ilvl="3">
      <w:start w:val="0"/>
      <w:numFmt w:val="bullet"/>
      <w:lvlText w:val="•"/>
      <w:lvlJc w:val="left"/>
      <w:pPr>
        <w:ind w:left="3026" w:hanging="260"/>
      </w:pPr>
      <w:rPr/>
    </w:lvl>
    <w:lvl w:ilvl="4">
      <w:start w:val="0"/>
      <w:numFmt w:val="bullet"/>
      <w:lvlText w:val="•"/>
      <w:lvlJc w:val="left"/>
      <w:pPr>
        <w:ind w:left="4140" w:hanging="260"/>
      </w:pPr>
      <w:rPr/>
    </w:lvl>
    <w:lvl w:ilvl="5">
      <w:start w:val="0"/>
      <w:numFmt w:val="bullet"/>
      <w:lvlText w:val="•"/>
      <w:lvlJc w:val="left"/>
      <w:pPr>
        <w:ind w:left="5253" w:hanging="260"/>
      </w:pPr>
      <w:rPr/>
    </w:lvl>
    <w:lvl w:ilvl="6">
      <w:start w:val="0"/>
      <w:numFmt w:val="bullet"/>
      <w:lvlText w:val="•"/>
      <w:lvlJc w:val="left"/>
      <w:pPr>
        <w:ind w:left="6366" w:hanging="260"/>
      </w:pPr>
      <w:rPr/>
    </w:lvl>
    <w:lvl w:ilvl="7">
      <w:start w:val="0"/>
      <w:numFmt w:val="bullet"/>
      <w:lvlText w:val="•"/>
      <w:lvlJc w:val="left"/>
      <w:pPr>
        <w:ind w:left="7480" w:hanging="260"/>
      </w:pPr>
      <w:rPr/>
    </w:lvl>
    <w:lvl w:ilvl="8">
      <w:start w:val="0"/>
      <w:numFmt w:val="bullet"/>
      <w:lvlText w:val="•"/>
      <w:lvlJc w:val="left"/>
      <w:pPr>
        <w:ind w:left="8593" w:hanging="260"/>
      </w:pPr>
      <w:rPr/>
    </w:lvl>
  </w:abstractNum>
  <w:abstractNum w:abstractNumId="4">
    <w:lvl w:ilvl="0">
      <w:start w:val="0"/>
      <w:numFmt w:val="bullet"/>
      <w:lvlText w:val="-"/>
      <w:lvlJc w:val="left"/>
      <w:pPr>
        <w:ind w:left="790" w:hanging="106"/>
      </w:pPr>
      <w:rPr>
        <w:rFonts w:ascii="Times New Roman" w:cs="Times New Roman" w:eastAsia="Times New Roman" w:hAnsi="Times New Roman"/>
        <w:sz w:val="18"/>
        <w:szCs w:val="18"/>
      </w:rPr>
    </w:lvl>
    <w:lvl w:ilvl="1">
      <w:start w:val="0"/>
      <w:numFmt w:val="bullet"/>
      <w:lvlText w:val="•"/>
      <w:lvlJc w:val="left"/>
      <w:pPr>
        <w:ind w:left="1802" w:hanging="106"/>
      </w:pPr>
      <w:rPr/>
    </w:lvl>
    <w:lvl w:ilvl="2">
      <w:start w:val="0"/>
      <w:numFmt w:val="bullet"/>
      <w:lvlText w:val="•"/>
      <w:lvlJc w:val="left"/>
      <w:pPr>
        <w:ind w:left="2804" w:hanging="106.00000000000045"/>
      </w:pPr>
      <w:rPr/>
    </w:lvl>
    <w:lvl w:ilvl="3">
      <w:start w:val="0"/>
      <w:numFmt w:val="bullet"/>
      <w:lvlText w:val="•"/>
      <w:lvlJc w:val="left"/>
      <w:pPr>
        <w:ind w:left="3806" w:hanging="106"/>
      </w:pPr>
      <w:rPr/>
    </w:lvl>
    <w:lvl w:ilvl="4">
      <w:start w:val="0"/>
      <w:numFmt w:val="bullet"/>
      <w:lvlText w:val="•"/>
      <w:lvlJc w:val="left"/>
      <w:pPr>
        <w:ind w:left="4808" w:hanging="106"/>
      </w:pPr>
      <w:rPr/>
    </w:lvl>
    <w:lvl w:ilvl="5">
      <w:start w:val="0"/>
      <w:numFmt w:val="bullet"/>
      <w:lvlText w:val="•"/>
      <w:lvlJc w:val="left"/>
      <w:pPr>
        <w:ind w:left="5810" w:hanging="106"/>
      </w:pPr>
      <w:rPr/>
    </w:lvl>
    <w:lvl w:ilvl="6">
      <w:start w:val="0"/>
      <w:numFmt w:val="bullet"/>
      <w:lvlText w:val="•"/>
      <w:lvlJc w:val="left"/>
      <w:pPr>
        <w:ind w:left="6812" w:hanging="106"/>
      </w:pPr>
      <w:rPr/>
    </w:lvl>
    <w:lvl w:ilvl="7">
      <w:start w:val="0"/>
      <w:numFmt w:val="bullet"/>
      <w:lvlText w:val="•"/>
      <w:lvlJc w:val="left"/>
      <w:pPr>
        <w:ind w:left="7814" w:hanging="106"/>
      </w:pPr>
      <w:rPr/>
    </w:lvl>
    <w:lvl w:ilvl="8">
      <w:start w:val="0"/>
      <w:numFmt w:val="bullet"/>
      <w:lvlText w:val="•"/>
      <w:lvlJc w:val="left"/>
      <w:pPr>
        <w:ind w:left="8816" w:hanging="106"/>
      </w:pPr>
      <w:rPr/>
    </w:lvl>
  </w:abstractNum>
  <w:abstractNum w:abstractNumId="5">
    <w:lvl w:ilvl="0">
      <w:start w:val="1"/>
      <w:numFmt w:val="lowerLetter"/>
      <w:lvlText w:val="%1)"/>
      <w:lvlJc w:val="left"/>
      <w:pPr>
        <w:ind w:left="975" w:hanging="185"/>
      </w:pPr>
      <w:rPr>
        <w:rFonts w:ascii="Times New Roman" w:cs="Times New Roman" w:eastAsia="Times New Roman" w:hAnsi="Times New Roman"/>
        <w:sz w:val="18"/>
        <w:szCs w:val="18"/>
      </w:rPr>
    </w:lvl>
    <w:lvl w:ilvl="1">
      <w:start w:val="0"/>
      <w:numFmt w:val="bullet"/>
      <w:lvlText w:val="•"/>
      <w:lvlJc w:val="left"/>
      <w:pPr>
        <w:ind w:left="1964" w:hanging="185"/>
      </w:pPr>
      <w:rPr/>
    </w:lvl>
    <w:lvl w:ilvl="2">
      <w:start w:val="0"/>
      <w:numFmt w:val="bullet"/>
      <w:lvlText w:val="•"/>
      <w:lvlJc w:val="left"/>
      <w:pPr>
        <w:ind w:left="2948" w:hanging="185"/>
      </w:pPr>
      <w:rPr/>
    </w:lvl>
    <w:lvl w:ilvl="3">
      <w:start w:val="0"/>
      <w:numFmt w:val="bullet"/>
      <w:lvlText w:val="•"/>
      <w:lvlJc w:val="left"/>
      <w:pPr>
        <w:ind w:left="3932" w:hanging="185"/>
      </w:pPr>
      <w:rPr/>
    </w:lvl>
    <w:lvl w:ilvl="4">
      <w:start w:val="0"/>
      <w:numFmt w:val="bullet"/>
      <w:lvlText w:val="•"/>
      <w:lvlJc w:val="left"/>
      <w:pPr>
        <w:ind w:left="4916" w:hanging="185"/>
      </w:pPr>
      <w:rPr/>
    </w:lvl>
    <w:lvl w:ilvl="5">
      <w:start w:val="0"/>
      <w:numFmt w:val="bullet"/>
      <w:lvlText w:val="•"/>
      <w:lvlJc w:val="left"/>
      <w:pPr>
        <w:ind w:left="5900" w:hanging="185"/>
      </w:pPr>
      <w:rPr/>
    </w:lvl>
    <w:lvl w:ilvl="6">
      <w:start w:val="0"/>
      <w:numFmt w:val="bullet"/>
      <w:lvlText w:val="•"/>
      <w:lvlJc w:val="left"/>
      <w:pPr>
        <w:ind w:left="6884" w:hanging="185"/>
      </w:pPr>
      <w:rPr/>
    </w:lvl>
    <w:lvl w:ilvl="7">
      <w:start w:val="0"/>
      <w:numFmt w:val="bullet"/>
      <w:lvlText w:val="•"/>
      <w:lvlJc w:val="left"/>
      <w:pPr>
        <w:ind w:left="7868" w:hanging="185"/>
      </w:pPr>
      <w:rPr/>
    </w:lvl>
    <w:lvl w:ilvl="8">
      <w:start w:val="0"/>
      <w:numFmt w:val="bullet"/>
      <w:lvlText w:val="•"/>
      <w:lvlJc w:val="left"/>
      <w:pPr>
        <w:ind w:left="8852" w:hanging="185"/>
      </w:pPr>
      <w:rPr/>
    </w:lvl>
  </w:abstractNum>
  <w:abstractNum w:abstractNumId="6">
    <w:lvl w:ilvl="0">
      <w:start w:val="0"/>
      <w:numFmt w:val="bullet"/>
      <w:lvlText w:val="-"/>
      <w:lvlJc w:val="left"/>
      <w:pPr>
        <w:ind w:left="1124" w:hanging="360.9999999999999"/>
      </w:pPr>
      <w:rPr>
        <w:rFonts w:ascii="Arial" w:cs="Arial" w:eastAsia="Arial" w:hAnsi="Arial"/>
        <w:b w:val="1"/>
        <w:sz w:val="20"/>
        <w:szCs w:val="20"/>
      </w:rPr>
    </w:lvl>
    <w:lvl w:ilvl="1">
      <w:start w:val="0"/>
      <w:numFmt w:val="bullet"/>
      <w:lvlText w:val="•"/>
      <w:lvlJc w:val="left"/>
      <w:pPr>
        <w:ind w:left="2090" w:hanging="361"/>
      </w:pPr>
      <w:rPr/>
    </w:lvl>
    <w:lvl w:ilvl="2">
      <w:start w:val="0"/>
      <w:numFmt w:val="bullet"/>
      <w:lvlText w:val="•"/>
      <w:lvlJc w:val="left"/>
      <w:pPr>
        <w:ind w:left="3060" w:hanging="361"/>
      </w:pPr>
      <w:rPr/>
    </w:lvl>
    <w:lvl w:ilvl="3">
      <w:start w:val="0"/>
      <w:numFmt w:val="bullet"/>
      <w:lvlText w:val="•"/>
      <w:lvlJc w:val="left"/>
      <w:pPr>
        <w:ind w:left="4030" w:hanging="361"/>
      </w:pPr>
      <w:rPr/>
    </w:lvl>
    <w:lvl w:ilvl="4">
      <w:start w:val="0"/>
      <w:numFmt w:val="bullet"/>
      <w:lvlText w:val="•"/>
      <w:lvlJc w:val="left"/>
      <w:pPr>
        <w:ind w:left="5000" w:hanging="361"/>
      </w:pPr>
      <w:rPr/>
    </w:lvl>
    <w:lvl w:ilvl="5">
      <w:start w:val="0"/>
      <w:numFmt w:val="bullet"/>
      <w:lvlText w:val="•"/>
      <w:lvlJc w:val="left"/>
      <w:pPr>
        <w:ind w:left="5970" w:hanging="361"/>
      </w:pPr>
      <w:rPr/>
    </w:lvl>
    <w:lvl w:ilvl="6">
      <w:start w:val="0"/>
      <w:numFmt w:val="bullet"/>
      <w:lvlText w:val="•"/>
      <w:lvlJc w:val="left"/>
      <w:pPr>
        <w:ind w:left="6940" w:hanging="361"/>
      </w:pPr>
      <w:rPr/>
    </w:lvl>
    <w:lvl w:ilvl="7">
      <w:start w:val="0"/>
      <w:numFmt w:val="bullet"/>
      <w:lvlText w:val="•"/>
      <w:lvlJc w:val="left"/>
      <w:pPr>
        <w:ind w:left="7910" w:hanging="361"/>
      </w:pPr>
      <w:rPr/>
    </w:lvl>
    <w:lvl w:ilvl="8">
      <w:start w:val="0"/>
      <w:numFmt w:val="bullet"/>
      <w:lvlText w:val="•"/>
      <w:lvlJc w:val="left"/>
      <w:pPr>
        <w:ind w:left="8880" w:hanging="361"/>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it-IT"/>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default="1">
    <w:name w:val="Normal"/>
    <w:uiPriority w:val="1"/>
    <w:qFormat w:val="1"/>
    <w:rsid w:val="00143E6D"/>
    <w:rPr>
      <w:rFonts w:ascii="Times New Roman" w:cs="Times New Roman" w:eastAsia="Times New Roman" w:hAnsi="Times New Roman"/>
      <w:lang w:val="it-IT"/>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uiPriority w:val="2"/>
    <w:semiHidden w:val="1"/>
    <w:unhideWhenUsed w:val="1"/>
    <w:qFormat w:val="1"/>
    <w:rsid w:val="00143E6D"/>
    <w:tblPr>
      <w:tblInd w:w="0.0" w:type="dxa"/>
      <w:tblCellMar>
        <w:top w:w="0.0" w:type="dxa"/>
        <w:left w:w="0.0" w:type="dxa"/>
        <w:bottom w:w="0.0" w:type="dxa"/>
        <w:right w:w="0.0" w:type="dxa"/>
      </w:tblCellMar>
    </w:tblPr>
  </w:style>
  <w:style w:type="paragraph" w:styleId="Corpotesto">
    <w:name w:val="Body Text"/>
    <w:basedOn w:val="Normale"/>
    <w:uiPriority w:val="1"/>
    <w:qFormat w:val="1"/>
    <w:rsid w:val="00143E6D"/>
    <w:pPr>
      <w:ind w:left="790"/>
    </w:pPr>
    <w:rPr>
      <w:sz w:val="18"/>
      <w:szCs w:val="18"/>
    </w:rPr>
  </w:style>
  <w:style w:type="paragraph" w:styleId="Titolo11" w:customStyle="1">
    <w:name w:val="Titolo 11"/>
    <w:basedOn w:val="Normale"/>
    <w:uiPriority w:val="1"/>
    <w:qFormat w:val="1"/>
    <w:rsid w:val="00143E6D"/>
    <w:pPr>
      <w:ind w:left="790"/>
      <w:outlineLvl w:val="1"/>
    </w:pPr>
    <w:rPr>
      <w:b w:val="1"/>
      <w:bCs w:val="1"/>
      <w:sz w:val="18"/>
      <w:szCs w:val="18"/>
      <w:u w:color="000000" w:val="single"/>
    </w:rPr>
  </w:style>
  <w:style w:type="paragraph" w:styleId="Paragrafoelenco">
    <w:name w:val="List Paragraph"/>
    <w:basedOn w:val="Normale"/>
    <w:uiPriority w:val="1"/>
    <w:qFormat w:val="1"/>
    <w:rsid w:val="00143E6D"/>
    <w:pPr>
      <w:ind w:left="790"/>
      <w:jc w:val="both"/>
    </w:pPr>
  </w:style>
  <w:style w:type="paragraph" w:styleId="TableParagraph" w:customStyle="1">
    <w:name w:val="Table Paragraph"/>
    <w:basedOn w:val="Normale"/>
    <w:uiPriority w:val="1"/>
    <w:qFormat w:val="1"/>
    <w:rsid w:val="00143E6D"/>
  </w:style>
  <w:style w:type="paragraph" w:styleId="Intestazione">
    <w:name w:val="header"/>
    <w:basedOn w:val="Normale"/>
    <w:link w:val="IntestazioneCarattere"/>
    <w:uiPriority w:val="99"/>
    <w:unhideWhenUsed w:val="1"/>
    <w:rsid w:val="00061B3C"/>
    <w:pPr>
      <w:tabs>
        <w:tab w:val="center" w:pos="4819"/>
        <w:tab w:val="right" w:pos="9638"/>
      </w:tabs>
    </w:pPr>
  </w:style>
  <w:style w:type="character" w:styleId="IntestazioneCarattere" w:customStyle="1">
    <w:name w:val="Intestazione Carattere"/>
    <w:basedOn w:val="Carpredefinitoparagrafo"/>
    <w:link w:val="Intestazione"/>
    <w:uiPriority w:val="99"/>
    <w:rsid w:val="00061B3C"/>
    <w:rPr>
      <w:rFonts w:ascii="Times New Roman" w:cs="Times New Roman" w:eastAsia="Times New Roman" w:hAnsi="Times New Roman"/>
      <w:lang w:val="it-IT"/>
    </w:rPr>
  </w:style>
  <w:style w:type="paragraph" w:styleId="Pidipagina">
    <w:name w:val="footer"/>
    <w:basedOn w:val="Normale"/>
    <w:link w:val="PidipaginaCarattere"/>
    <w:uiPriority w:val="99"/>
    <w:unhideWhenUsed w:val="1"/>
    <w:rsid w:val="00061B3C"/>
    <w:pPr>
      <w:tabs>
        <w:tab w:val="center" w:pos="4819"/>
        <w:tab w:val="right" w:pos="9638"/>
      </w:tabs>
    </w:pPr>
  </w:style>
  <w:style w:type="character" w:styleId="PidipaginaCarattere" w:customStyle="1">
    <w:name w:val="Piè di pagina Carattere"/>
    <w:basedOn w:val="Carpredefinitoparagrafo"/>
    <w:link w:val="Pidipagina"/>
    <w:uiPriority w:val="99"/>
    <w:rsid w:val="00061B3C"/>
    <w:rPr>
      <w:rFonts w:ascii="Times New Roman" w:cs="Times New Roman" w:eastAsia="Times New Roman" w:hAnsi="Times New Roman"/>
      <w:lang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15" Type="http://schemas.openxmlformats.org/officeDocument/2006/relationships/image" Target="media/image5.png"/><Relationship Id="rId14" Type="http://schemas.openxmlformats.org/officeDocument/2006/relationships/image" Target="media/image3.png"/><Relationship Id="rId16"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oCa3gQ6mZkKBRZ5xxGOrET24hw==">CgMxLjA4AHIhMWhRNTJQc3UyTTFsZ3VOZVpiUmNaVHBuRUlZZVdPZGw3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2022-03-02T11:26:00Z</dcterms:created>
  <dc:creator>Protocollo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2022-02-14T00:00:00Z</vt:filetime>
  </property>
  <property fmtid="{D5CDD505-2E9C-101B-9397-08002B2CF9AE}" pid="3" name="Creator">
    <vt:lpwstr>Microsoft® Word 2016</vt:lpwstr>
  </property>
  <property fmtid="{D5CDD505-2E9C-101B-9397-08002B2CF9AE}" pid="4" name="LastSaved">
    <vt:filetime>2022-03-02T00:00:00Z</vt:filetime>
  </property>
</Properties>
</file>